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9E0D" w14:textId="77777777" w:rsidR="009E4701" w:rsidRPr="001E7374" w:rsidRDefault="009E4701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bookmarkStart w:id="0" w:name="_GoBack"/>
      <w:bookmarkEnd w:id="0"/>
      <w:r w:rsidRPr="001E7374">
        <w:rPr>
          <w:rFonts w:ascii="Tahoma" w:eastAsiaTheme="minorHAnsi" w:hAnsi="Tahoma" w:cs="Tahoma"/>
          <w:b/>
          <w:bCs/>
          <w:lang w:val="es-ES"/>
        </w:rPr>
        <w:t>11. PROCEDI</w:t>
      </w:r>
      <w:r w:rsidR="00177537" w:rsidRPr="001E7374">
        <w:rPr>
          <w:rFonts w:ascii="Tahoma" w:eastAsiaTheme="minorHAnsi" w:hAnsi="Tahoma" w:cs="Tahoma"/>
          <w:b/>
          <w:bCs/>
          <w:lang w:val="es-ES"/>
        </w:rPr>
        <w:t xml:space="preserve">MIENTOS ADMINISTRATIVOS DEL </w:t>
      </w:r>
      <w:proofErr w:type="spellStart"/>
      <w:r w:rsidR="00177537" w:rsidRPr="001E7374">
        <w:rPr>
          <w:rFonts w:ascii="Tahoma" w:eastAsiaTheme="minorHAnsi" w:hAnsi="Tahoma" w:cs="Tahoma"/>
          <w:b/>
          <w:bCs/>
          <w:lang w:val="es-ES"/>
        </w:rPr>
        <w:t>CEIm</w:t>
      </w:r>
      <w:proofErr w:type="spellEnd"/>
      <w:r w:rsidRPr="001E7374">
        <w:rPr>
          <w:rFonts w:ascii="Tahoma" w:eastAsiaTheme="minorHAnsi" w:hAnsi="Tahoma" w:cs="Tahoma"/>
          <w:b/>
          <w:bCs/>
          <w:lang w:val="es-ES"/>
        </w:rPr>
        <w:t>.</w:t>
      </w:r>
    </w:p>
    <w:p w14:paraId="00EB394F" w14:textId="77777777" w:rsidR="00177537" w:rsidRPr="001E7374" w:rsidRDefault="00177537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5B024458" w14:textId="77777777" w:rsidR="009E4701" w:rsidRPr="001E7374" w:rsidRDefault="009E4701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TÍTULO</w:t>
      </w:r>
    </w:p>
    <w:p w14:paraId="0104CA1A" w14:textId="77777777" w:rsidR="009E4701" w:rsidRPr="001E7374" w:rsidRDefault="009E4701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Procedi</w:t>
      </w:r>
      <w:r w:rsidR="00177537" w:rsidRPr="001E7374">
        <w:rPr>
          <w:rFonts w:ascii="Tahoma" w:eastAsiaTheme="minorHAnsi" w:hAnsi="Tahoma" w:cs="Tahoma"/>
          <w:lang w:val="es-ES"/>
        </w:rPr>
        <w:t xml:space="preserve">mientos administrativos del </w:t>
      </w:r>
      <w:proofErr w:type="spellStart"/>
      <w:r w:rsidR="00177537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Pr="001E7374">
        <w:rPr>
          <w:rFonts w:ascii="Tahoma" w:eastAsiaTheme="minorHAnsi" w:hAnsi="Tahoma" w:cs="Tahoma"/>
          <w:lang w:val="es-ES"/>
        </w:rPr>
        <w:t>.</w:t>
      </w:r>
    </w:p>
    <w:p w14:paraId="2FC9F621" w14:textId="77777777" w:rsidR="00177537" w:rsidRPr="001E7374" w:rsidRDefault="00177537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71F409AE" w14:textId="77777777" w:rsidR="009E4701" w:rsidRPr="001E7374" w:rsidRDefault="009E4701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OBJETIVO</w:t>
      </w:r>
    </w:p>
    <w:p w14:paraId="3A245EAC" w14:textId="0CA7FFF5" w:rsidR="009E4701" w:rsidRPr="001E7374" w:rsidRDefault="009E4701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Identificar y detallar los procedi</w:t>
      </w:r>
      <w:r w:rsidR="00161A6F" w:rsidRPr="001E7374">
        <w:rPr>
          <w:rFonts w:ascii="Tahoma" w:eastAsiaTheme="minorHAnsi" w:hAnsi="Tahoma" w:cs="Tahoma"/>
          <w:lang w:val="es-ES"/>
        </w:rPr>
        <w:t xml:space="preserve">mientos administrativos del </w:t>
      </w:r>
      <w:proofErr w:type="spellStart"/>
      <w:r w:rsidR="00161A6F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Pr="001E7374">
        <w:rPr>
          <w:rFonts w:ascii="Tahoma" w:eastAsiaTheme="minorHAnsi" w:hAnsi="Tahoma" w:cs="Tahoma"/>
          <w:lang w:val="es-ES"/>
        </w:rPr>
        <w:t xml:space="preserve">. Establecer </w:t>
      </w:r>
      <w:r w:rsidR="00177537" w:rsidRPr="001E7374">
        <w:rPr>
          <w:rFonts w:ascii="Tahoma" w:eastAsiaTheme="minorHAnsi" w:hAnsi="Tahoma" w:cs="Tahoma"/>
          <w:lang w:val="es-ES"/>
        </w:rPr>
        <w:t xml:space="preserve">un sistema para la comunicación entre el </w:t>
      </w:r>
      <w:proofErr w:type="spellStart"/>
      <w:r w:rsidR="00177537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177537" w:rsidRPr="001E7374">
        <w:rPr>
          <w:rFonts w:ascii="Tahoma" w:eastAsiaTheme="minorHAnsi" w:hAnsi="Tahoma" w:cs="Tahoma"/>
          <w:lang w:val="es-ES"/>
        </w:rPr>
        <w:t xml:space="preserve"> de</w:t>
      </w:r>
      <w:r w:rsidR="00AE6745">
        <w:rPr>
          <w:rFonts w:ascii="Tahoma" w:eastAsiaTheme="minorHAnsi" w:hAnsi="Tahoma" w:cs="Tahoma"/>
          <w:lang w:val="es-ES"/>
        </w:rPr>
        <w:t xml:space="preserve"> las Áreas de Salud de</w:t>
      </w:r>
      <w:r w:rsidR="00177537" w:rsidRPr="001E7374">
        <w:rPr>
          <w:rFonts w:ascii="Tahoma" w:eastAsiaTheme="minorHAnsi" w:hAnsi="Tahoma" w:cs="Tahoma"/>
          <w:lang w:val="es-ES"/>
        </w:rPr>
        <w:t xml:space="preserve"> León</w:t>
      </w:r>
      <w:r w:rsidR="00AE6745">
        <w:rPr>
          <w:rFonts w:ascii="Tahoma" w:eastAsiaTheme="minorHAnsi" w:hAnsi="Tahoma" w:cs="Tahoma"/>
          <w:lang w:val="es-ES"/>
        </w:rPr>
        <w:t xml:space="preserve"> y del Bierzo</w:t>
      </w:r>
      <w:r w:rsidR="00177537" w:rsidRPr="001E7374">
        <w:rPr>
          <w:rFonts w:ascii="Tahoma" w:eastAsiaTheme="minorHAnsi" w:hAnsi="Tahoma" w:cs="Tahoma"/>
          <w:lang w:val="es-ES"/>
        </w:rPr>
        <w:t>,</w:t>
      </w:r>
      <w:r w:rsidRPr="001E7374">
        <w:rPr>
          <w:rFonts w:ascii="Tahoma" w:eastAsiaTheme="minorHAnsi" w:hAnsi="Tahoma" w:cs="Tahoma"/>
          <w:lang w:val="es-ES"/>
        </w:rPr>
        <w:t xml:space="preserve"> el pro</w:t>
      </w:r>
      <w:r w:rsidR="00177537" w:rsidRPr="001E7374">
        <w:rPr>
          <w:rFonts w:ascii="Tahoma" w:eastAsiaTheme="minorHAnsi" w:hAnsi="Tahoma" w:cs="Tahoma"/>
          <w:lang w:val="es-ES"/>
        </w:rPr>
        <w:t xml:space="preserve">motor, los investigadores y las </w:t>
      </w:r>
      <w:r w:rsidRPr="001E7374">
        <w:rPr>
          <w:rFonts w:ascii="Tahoma" w:eastAsiaTheme="minorHAnsi" w:hAnsi="Tahoma" w:cs="Tahoma"/>
          <w:lang w:val="es-ES"/>
        </w:rPr>
        <w:t>autoridades sanitarias de ámbito estatal y autonómico.</w:t>
      </w:r>
    </w:p>
    <w:p w14:paraId="2050B17F" w14:textId="77777777" w:rsidR="00161A6F" w:rsidRPr="001E7374" w:rsidRDefault="00161A6F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52B613C7" w14:textId="0F25786A" w:rsidR="00161A6F" w:rsidRPr="001E7374" w:rsidRDefault="00161A6F" w:rsidP="009C0947">
      <w:pPr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Establecer un procedimiento común para la solicitud de evaluación por el </w:t>
      </w:r>
      <w:proofErr w:type="spellStart"/>
      <w:r w:rsidR="00C80EAD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C80EAD" w:rsidRPr="001E7374">
        <w:rPr>
          <w:rFonts w:ascii="Tahoma" w:eastAsiaTheme="minorHAnsi" w:hAnsi="Tahoma" w:cs="Tahoma"/>
          <w:lang w:val="es-ES"/>
        </w:rPr>
        <w:t xml:space="preserve"> de</w:t>
      </w:r>
      <w:r w:rsidR="00C80EAD">
        <w:rPr>
          <w:rFonts w:ascii="Tahoma" w:eastAsiaTheme="minorHAnsi" w:hAnsi="Tahoma" w:cs="Tahoma"/>
          <w:lang w:val="es-ES"/>
        </w:rPr>
        <w:t xml:space="preserve"> las Áreas de Salud de</w:t>
      </w:r>
      <w:r w:rsidR="00C80EAD" w:rsidRPr="001E7374">
        <w:rPr>
          <w:rFonts w:ascii="Tahoma" w:eastAsiaTheme="minorHAnsi" w:hAnsi="Tahoma" w:cs="Tahoma"/>
          <w:lang w:val="es-ES"/>
        </w:rPr>
        <w:t xml:space="preserve"> León</w:t>
      </w:r>
      <w:r w:rsidR="00C80EAD">
        <w:rPr>
          <w:rFonts w:ascii="Tahoma" w:eastAsiaTheme="minorHAnsi" w:hAnsi="Tahoma" w:cs="Tahoma"/>
          <w:lang w:val="es-ES"/>
        </w:rPr>
        <w:t xml:space="preserve"> y del Bierzo</w:t>
      </w:r>
      <w:r w:rsidRPr="001E7374">
        <w:rPr>
          <w:rFonts w:ascii="Tahoma" w:eastAsiaTheme="minorHAnsi" w:hAnsi="Tahoma" w:cs="Tahoma"/>
          <w:lang w:val="es-ES"/>
        </w:rPr>
        <w:t xml:space="preserve"> de protocolos de investigación clínica (Ensayos clínicos, estudios ob</w:t>
      </w:r>
      <w:r w:rsidR="007349F9">
        <w:rPr>
          <w:rFonts w:ascii="Tahoma" w:eastAsiaTheme="minorHAnsi" w:hAnsi="Tahoma" w:cs="Tahoma"/>
          <w:lang w:val="es-ES"/>
        </w:rPr>
        <w:t>servacionales y otros estudios)</w:t>
      </w:r>
      <w:r w:rsidRPr="001E7374">
        <w:rPr>
          <w:rFonts w:ascii="Tahoma" w:eastAsiaTheme="minorHAnsi" w:hAnsi="Tahoma" w:cs="Tahoma"/>
          <w:lang w:val="es-ES"/>
        </w:rPr>
        <w:t xml:space="preserve"> y establecer los requisitos de documentación mínimos para llevarla a cabo.</w:t>
      </w:r>
    </w:p>
    <w:p w14:paraId="2E218D70" w14:textId="77777777" w:rsidR="00161A6F" w:rsidRPr="001E7374" w:rsidRDefault="00161A6F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583BDADA" w14:textId="77777777" w:rsidR="00177537" w:rsidRPr="001E7374" w:rsidRDefault="00177537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0B47BCE2" w14:textId="77777777" w:rsidR="00B05C09" w:rsidRPr="001E7374" w:rsidRDefault="009E4701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ÁMBITO DE APLICACIÓN</w:t>
      </w:r>
    </w:p>
    <w:p w14:paraId="5A25DBDA" w14:textId="5C768E76" w:rsidR="00B05C09" w:rsidRPr="001E7374" w:rsidRDefault="00B05C09" w:rsidP="009C0947">
      <w:pPr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Protocolos de investigación que precisen evaluación en </w:t>
      </w:r>
      <w:proofErr w:type="spellStart"/>
      <w:r w:rsidR="00C80EAD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C80EAD" w:rsidRPr="001E7374">
        <w:rPr>
          <w:rFonts w:ascii="Tahoma" w:eastAsiaTheme="minorHAnsi" w:hAnsi="Tahoma" w:cs="Tahoma"/>
          <w:lang w:val="es-ES"/>
        </w:rPr>
        <w:t xml:space="preserve"> de</w:t>
      </w:r>
      <w:r w:rsidR="00C80EAD">
        <w:rPr>
          <w:rFonts w:ascii="Tahoma" w:eastAsiaTheme="minorHAnsi" w:hAnsi="Tahoma" w:cs="Tahoma"/>
          <w:lang w:val="es-ES"/>
        </w:rPr>
        <w:t xml:space="preserve"> las Áreas de Salud de</w:t>
      </w:r>
      <w:r w:rsidR="00C80EAD" w:rsidRPr="001E7374">
        <w:rPr>
          <w:rFonts w:ascii="Tahoma" w:eastAsiaTheme="minorHAnsi" w:hAnsi="Tahoma" w:cs="Tahoma"/>
          <w:lang w:val="es-ES"/>
        </w:rPr>
        <w:t xml:space="preserve"> León</w:t>
      </w:r>
      <w:r w:rsidR="00C80EAD">
        <w:rPr>
          <w:rFonts w:ascii="Tahoma" w:eastAsiaTheme="minorHAnsi" w:hAnsi="Tahoma" w:cs="Tahoma"/>
          <w:lang w:val="es-ES"/>
        </w:rPr>
        <w:t xml:space="preserve"> y del Bierzo</w:t>
      </w:r>
      <w:r w:rsidRPr="001E7374">
        <w:rPr>
          <w:rFonts w:ascii="Tahoma" w:eastAsiaTheme="minorHAnsi" w:hAnsi="Tahoma" w:cs="Tahoma"/>
          <w:lang w:val="es-ES"/>
        </w:rPr>
        <w:t>, esto comprende: Complejo Asistencial Universitario de León, Hospital el Bierzo y Centros de Salud Asignados a las áreas.</w:t>
      </w:r>
    </w:p>
    <w:p w14:paraId="79702B69" w14:textId="77777777" w:rsidR="00B05C09" w:rsidRPr="001E7374" w:rsidRDefault="00B05C09" w:rsidP="009C0947">
      <w:pPr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Se entenderá como protocolos de investigación (con medicamentos, productos sanitarios, muestras biológicas, personas, datos de salud y otros):</w:t>
      </w:r>
    </w:p>
    <w:p w14:paraId="5F3E4697" w14:textId="10392012" w:rsidR="00B05C09" w:rsidRPr="001E7374" w:rsidRDefault="00B05C09" w:rsidP="00F25FCC">
      <w:pPr>
        <w:spacing w:line="360" w:lineRule="auto"/>
        <w:ind w:firstLine="35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-</w:t>
      </w:r>
      <w:r w:rsidR="005B3587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 xml:space="preserve">Ensayos clínicos: donde según proceda el Comité de ética de la investigación podrá actuar como </w:t>
      </w:r>
      <w:proofErr w:type="spellStart"/>
      <w:r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Pr="001E7374">
        <w:rPr>
          <w:rFonts w:ascii="Tahoma" w:eastAsiaTheme="minorHAnsi" w:hAnsi="Tahoma" w:cs="Tahoma"/>
          <w:lang w:val="es-ES"/>
        </w:rPr>
        <w:t xml:space="preserve"> de referencia para emitir dictamen (RD 1090/2015).</w:t>
      </w:r>
    </w:p>
    <w:p w14:paraId="7326FAF9" w14:textId="335CC6E3" w:rsidR="00B05C09" w:rsidRPr="001E7374" w:rsidRDefault="005B3587" w:rsidP="009C0947">
      <w:pPr>
        <w:spacing w:line="360" w:lineRule="auto"/>
        <w:ind w:firstLine="357"/>
        <w:jc w:val="both"/>
        <w:rPr>
          <w:rFonts w:ascii="Tahoma" w:eastAsiaTheme="minorHAnsi" w:hAnsi="Tahoma" w:cs="Tahoma"/>
          <w:lang w:val="es-ES"/>
        </w:rPr>
      </w:pPr>
      <w:r>
        <w:rPr>
          <w:rFonts w:ascii="Tahoma" w:eastAsiaTheme="minorHAnsi" w:hAnsi="Tahoma" w:cs="Tahoma"/>
          <w:lang w:val="es-ES"/>
        </w:rPr>
        <w:t xml:space="preserve">- </w:t>
      </w:r>
      <w:r w:rsidR="00B05C09" w:rsidRPr="001E7374">
        <w:rPr>
          <w:rFonts w:ascii="Tahoma" w:eastAsiaTheme="minorHAnsi" w:hAnsi="Tahoma" w:cs="Tahoma"/>
          <w:lang w:val="es-ES"/>
        </w:rPr>
        <w:t>Estudios observacionales</w:t>
      </w:r>
      <w:r>
        <w:rPr>
          <w:rFonts w:ascii="Tahoma" w:eastAsiaTheme="minorHAnsi" w:hAnsi="Tahoma" w:cs="Tahoma"/>
          <w:lang w:val="es-ES"/>
        </w:rPr>
        <w:t>.</w:t>
      </w:r>
    </w:p>
    <w:p w14:paraId="397726C8" w14:textId="5EA23787" w:rsidR="00B05C09" w:rsidRPr="001E7374" w:rsidRDefault="00B05C09" w:rsidP="009C0947">
      <w:pPr>
        <w:spacing w:line="360" w:lineRule="auto"/>
        <w:ind w:firstLine="35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-</w:t>
      </w:r>
      <w:r w:rsidR="005B3587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Otros estudios: Tesis doctorales, proyectos fin de master, trabajos fin de grado, posters a co</w:t>
      </w:r>
      <w:r w:rsidR="001E7374">
        <w:rPr>
          <w:rFonts w:ascii="Tahoma" w:eastAsiaTheme="minorHAnsi" w:hAnsi="Tahoma" w:cs="Tahoma"/>
          <w:lang w:val="es-ES"/>
        </w:rPr>
        <w:t>ngresos, becas de investigación</w:t>
      </w:r>
      <w:r w:rsidRPr="001E7374">
        <w:rPr>
          <w:rFonts w:ascii="Tahoma" w:eastAsiaTheme="minorHAnsi" w:hAnsi="Tahoma" w:cs="Tahoma"/>
          <w:lang w:val="es-ES"/>
        </w:rPr>
        <w:t xml:space="preserve"> y cualquier otro proyecto que no pueda ser incluido en apartados anteriores.</w:t>
      </w:r>
    </w:p>
    <w:p w14:paraId="4333084B" w14:textId="77777777" w:rsidR="00177537" w:rsidRPr="001E7374" w:rsidRDefault="00177537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17D1FFD6" w14:textId="77777777" w:rsidR="009E4701" w:rsidRPr="001E7374" w:rsidRDefault="009E4701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DEFINICIÓN</w:t>
      </w:r>
    </w:p>
    <w:p w14:paraId="1171519F" w14:textId="4B3EC357" w:rsidR="00D360ED" w:rsidRDefault="009E4701" w:rsidP="00522D84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Identificar y detallar los procedi</w:t>
      </w:r>
      <w:r w:rsidR="00004A52" w:rsidRPr="001E7374">
        <w:rPr>
          <w:rFonts w:ascii="Tahoma" w:eastAsiaTheme="minorHAnsi" w:hAnsi="Tahoma" w:cs="Tahoma"/>
          <w:lang w:val="es-ES"/>
        </w:rPr>
        <w:t xml:space="preserve">mientos administrativos del </w:t>
      </w:r>
      <w:proofErr w:type="spellStart"/>
      <w:r w:rsidR="00004A52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Pr="001E7374">
        <w:rPr>
          <w:rFonts w:ascii="Tahoma" w:eastAsiaTheme="minorHAnsi" w:hAnsi="Tahoma" w:cs="Tahoma"/>
          <w:lang w:val="es-ES"/>
        </w:rPr>
        <w:t xml:space="preserve">. Establecer </w:t>
      </w:r>
      <w:r w:rsidR="00342B09" w:rsidRPr="001E7374">
        <w:rPr>
          <w:rFonts w:ascii="Tahoma" w:eastAsiaTheme="minorHAnsi" w:hAnsi="Tahoma" w:cs="Tahoma"/>
          <w:lang w:val="es-ES"/>
        </w:rPr>
        <w:t xml:space="preserve">un sistema para la comunicación </w:t>
      </w:r>
      <w:r w:rsidRPr="001E7374">
        <w:rPr>
          <w:rFonts w:ascii="Tahoma" w:eastAsiaTheme="minorHAnsi" w:hAnsi="Tahoma" w:cs="Tahoma"/>
          <w:lang w:val="es-ES"/>
        </w:rPr>
        <w:t xml:space="preserve">entre el </w:t>
      </w:r>
      <w:proofErr w:type="spellStart"/>
      <w:r w:rsidR="008252EB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8252EB" w:rsidRPr="001E7374">
        <w:rPr>
          <w:rFonts w:ascii="Tahoma" w:eastAsiaTheme="minorHAnsi" w:hAnsi="Tahoma" w:cs="Tahoma"/>
          <w:lang w:val="es-ES"/>
        </w:rPr>
        <w:t xml:space="preserve"> de</w:t>
      </w:r>
      <w:r w:rsidR="008252EB">
        <w:rPr>
          <w:rFonts w:ascii="Tahoma" w:eastAsiaTheme="minorHAnsi" w:hAnsi="Tahoma" w:cs="Tahoma"/>
          <w:lang w:val="es-ES"/>
        </w:rPr>
        <w:t xml:space="preserve"> las Áreas de Salud de</w:t>
      </w:r>
      <w:r w:rsidR="008252EB" w:rsidRPr="001E7374">
        <w:rPr>
          <w:rFonts w:ascii="Tahoma" w:eastAsiaTheme="minorHAnsi" w:hAnsi="Tahoma" w:cs="Tahoma"/>
          <w:lang w:val="es-ES"/>
        </w:rPr>
        <w:t xml:space="preserve"> León</w:t>
      </w:r>
      <w:r w:rsidR="008252EB">
        <w:rPr>
          <w:rFonts w:ascii="Tahoma" w:eastAsiaTheme="minorHAnsi" w:hAnsi="Tahoma" w:cs="Tahoma"/>
          <w:lang w:val="es-ES"/>
        </w:rPr>
        <w:t xml:space="preserve"> y del Bierzo</w:t>
      </w:r>
      <w:r w:rsidRPr="001E7374">
        <w:rPr>
          <w:rFonts w:ascii="Tahoma" w:eastAsiaTheme="minorHAnsi" w:hAnsi="Tahoma" w:cs="Tahoma"/>
          <w:lang w:val="es-ES"/>
        </w:rPr>
        <w:t>, el pro</w:t>
      </w:r>
      <w:r w:rsidR="00342B09" w:rsidRPr="001E7374">
        <w:rPr>
          <w:rFonts w:ascii="Tahoma" w:eastAsiaTheme="minorHAnsi" w:hAnsi="Tahoma" w:cs="Tahoma"/>
          <w:lang w:val="es-ES"/>
        </w:rPr>
        <w:t xml:space="preserve">motor, los investigadores y las </w:t>
      </w:r>
      <w:r w:rsidRPr="001E7374">
        <w:rPr>
          <w:rFonts w:ascii="Tahoma" w:eastAsiaTheme="minorHAnsi" w:hAnsi="Tahoma" w:cs="Tahoma"/>
          <w:lang w:val="es-ES"/>
        </w:rPr>
        <w:t>autoridades sanitarias de ámbito estatal y autonómico.</w:t>
      </w:r>
    </w:p>
    <w:p w14:paraId="41D8BCFE" w14:textId="77777777" w:rsidR="00522D84" w:rsidRDefault="00522D84" w:rsidP="00522D84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44AD8922" w14:textId="34007ABC" w:rsidR="00004A52" w:rsidRPr="001E7374" w:rsidRDefault="00004A52" w:rsidP="009C0947">
      <w:pPr>
        <w:widowControl/>
        <w:autoSpaceDE/>
        <w:autoSpaceDN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lastRenderedPageBreak/>
        <w:t>RESPONSABILIDADES</w:t>
      </w:r>
    </w:p>
    <w:p w14:paraId="5072B338" w14:textId="77777777" w:rsidR="00004A52" w:rsidRPr="001E7374" w:rsidRDefault="00004A52" w:rsidP="009C0947">
      <w:pPr>
        <w:spacing w:line="360" w:lineRule="auto"/>
        <w:jc w:val="both"/>
        <w:rPr>
          <w:rFonts w:ascii="Tahoma" w:hAnsi="Tahoma" w:cs="Tahoma"/>
          <w:b/>
          <w:highlight w:val="yellow"/>
          <w:lang w:val="es-ES"/>
        </w:rPr>
      </w:pPr>
    </w:p>
    <w:p w14:paraId="7F20A323" w14:textId="24C2B4AC" w:rsidR="00004A52" w:rsidRPr="001E7374" w:rsidRDefault="00004A52" w:rsidP="00D360ED">
      <w:pPr>
        <w:spacing w:line="360" w:lineRule="auto"/>
        <w:jc w:val="both"/>
        <w:rPr>
          <w:rFonts w:ascii="Tahoma" w:hAnsi="Tahoma" w:cs="Tahoma"/>
          <w:b/>
          <w:lang w:val="es-ES"/>
        </w:rPr>
      </w:pPr>
      <w:r w:rsidRPr="001E7374">
        <w:rPr>
          <w:rFonts w:ascii="Tahoma" w:hAnsi="Tahoma" w:cs="Tahoma"/>
          <w:b/>
          <w:lang w:val="es-ES"/>
        </w:rPr>
        <w:t xml:space="preserve">Competencias y responsabilidades del </w:t>
      </w:r>
      <w:proofErr w:type="spellStart"/>
      <w:r w:rsidR="00C50C78" w:rsidRPr="00C50C78">
        <w:rPr>
          <w:rFonts w:ascii="Tahoma" w:eastAsiaTheme="minorHAnsi" w:hAnsi="Tahoma" w:cs="Tahoma"/>
          <w:b/>
          <w:lang w:val="es-ES"/>
        </w:rPr>
        <w:t>CEIm</w:t>
      </w:r>
      <w:proofErr w:type="spellEnd"/>
      <w:r w:rsidR="00C50C78" w:rsidRPr="00C50C78">
        <w:rPr>
          <w:rFonts w:ascii="Tahoma" w:eastAsiaTheme="minorHAnsi" w:hAnsi="Tahoma" w:cs="Tahoma"/>
          <w:b/>
          <w:lang w:val="es-ES"/>
        </w:rPr>
        <w:t xml:space="preserve"> de las Áreas de Salud de León y del Bierzo</w:t>
      </w:r>
      <w:r w:rsidRPr="00C50C78">
        <w:rPr>
          <w:rFonts w:ascii="Tahoma" w:hAnsi="Tahoma" w:cs="Tahoma"/>
          <w:b/>
          <w:lang w:val="es-ES"/>
        </w:rPr>
        <w:t>.</w:t>
      </w:r>
    </w:p>
    <w:p w14:paraId="221F7CD0" w14:textId="64290AA4" w:rsidR="00004A52" w:rsidRPr="001E7374" w:rsidRDefault="00004A52" w:rsidP="009C0947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="Tahoma" w:hAnsi="Tahoma" w:cs="Tahoma"/>
          <w:bCs/>
          <w:lang w:val="es-ES"/>
        </w:rPr>
      </w:pPr>
      <w:r w:rsidRPr="001E7374">
        <w:rPr>
          <w:rFonts w:ascii="Tahoma" w:hAnsi="Tahoma" w:cs="Tahoma"/>
          <w:bCs/>
          <w:lang w:val="es-ES"/>
        </w:rPr>
        <w:t>Evaluar en tiempo y forma la documentación presentada. Se reunirá presencialmente una vez al mes (último Martes de mes, si es posible) y realizará toda</w:t>
      </w:r>
      <w:r w:rsidR="00D360ED">
        <w:rPr>
          <w:rFonts w:ascii="Tahoma" w:hAnsi="Tahoma" w:cs="Tahoma"/>
          <w:bCs/>
          <w:lang w:val="es-ES"/>
        </w:rPr>
        <w:t>s las reuniones telemáticas que</w:t>
      </w:r>
      <w:r w:rsidRPr="001E7374">
        <w:rPr>
          <w:rFonts w:ascii="Tahoma" w:hAnsi="Tahoma" w:cs="Tahoma"/>
          <w:bCs/>
          <w:lang w:val="es-ES"/>
        </w:rPr>
        <w:t xml:space="preserve"> consideren oportunas para agilizar los trámites. </w:t>
      </w:r>
    </w:p>
    <w:p w14:paraId="2D03FE39" w14:textId="77777777" w:rsidR="00004A52" w:rsidRPr="001E7374" w:rsidRDefault="00F25FCC" w:rsidP="009C0947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="Tahoma" w:hAnsi="Tahoma" w:cs="Tahoma"/>
          <w:bCs/>
          <w:lang w:val="es-ES"/>
        </w:rPr>
      </w:pPr>
      <w:r w:rsidRPr="001E7374">
        <w:rPr>
          <w:rFonts w:ascii="Tahoma" w:hAnsi="Tahoma" w:cs="Tahoma"/>
          <w:bCs/>
          <w:lang w:val="es-ES"/>
        </w:rPr>
        <w:t>Emitir, tras la reunión, el a</w:t>
      </w:r>
      <w:r w:rsidR="00004A52" w:rsidRPr="001E7374">
        <w:rPr>
          <w:rFonts w:ascii="Tahoma" w:hAnsi="Tahoma" w:cs="Tahoma"/>
          <w:bCs/>
          <w:lang w:val="es-ES"/>
        </w:rPr>
        <w:t>cta correspondiente.</w:t>
      </w:r>
    </w:p>
    <w:p w14:paraId="0D3C8F33" w14:textId="158A272C" w:rsidR="00DE5C69" w:rsidRPr="001E7374" w:rsidRDefault="00DE5C69" w:rsidP="009C0947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lang w:val="es-ES"/>
        </w:rPr>
        <w:t xml:space="preserve">Como </w:t>
      </w:r>
      <w:proofErr w:type="spellStart"/>
      <w:r w:rsidRPr="001E7374">
        <w:rPr>
          <w:rFonts w:ascii="Tahoma" w:hAnsi="Tahoma" w:cs="Tahoma"/>
          <w:lang w:val="es-ES"/>
        </w:rPr>
        <w:t>CEIm</w:t>
      </w:r>
      <w:proofErr w:type="spellEnd"/>
      <w:r w:rsidRPr="001E7374">
        <w:rPr>
          <w:rFonts w:ascii="Tahoma" w:hAnsi="Tahoma" w:cs="Tahoma"/>
          <w:lang w:val="es-ES"/>
        </w:rPr>
        <w:t xml:space="preserve"> emitir dictamen, </w:t>
      </w:r>
      <w:r w:rsidR="00F25FCC" w:rsidRPr="001E7374">
        <w:rPr>
          <w:rFonts w:ascii="Tahoma" w:hAnsi="Tahoma" w:cs="Tahoma"/>
          <w:lang w:val="es-ES"/>
        </w:rPr>
        <w:t xml:space="preserve">según plazos </w:t>
      </w:r>
      <w:r w:rsidRPr="001E7374">
        <w:rPr>
          <w:rFonts w:ascii="Tahoma" w:hAnsi="Tahoma" w:cs="Tahoma"/>
          <w:lang w:val="es-ES"/>
        </w:rPr>
        <w:t xml:space="preserve">RD1090/2015. </w:t>
      </w:r>
    </w:p>
    <w:p w14:paraId="674E5DBC" w14:textId="77777777" w:rsidR="00004A52" w:rsidRPr="001E7374" w:rsidRDefault="00004A52" w:rsidP="009C0947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="Tahoma" w:hAnsi="Tahoma" w:cs="Tahoma"/>
          <w:bCs/>
          <w:lang w:val="es-ES"/>
        </w:rPr>
      </w:pPr>
      <w:r w:rsidRPr="001E7374">
        <w:rPr>
          <w:rFonts w:ascii="Tahoma" w:hAnsi="Tahoma" w:cs="Tahoma"/>
          <w:bCs/>
          <w:lang w:val="es-ES"/>
        </w:rPr>
        <w:t>Comunicar tras la reunión y en un plazo máximo de 10 días, al promotor la aprobación, denegación o la petición de aclaraciones</w:t>
      </w:r>
    </w:p>
    <w:p w14:paraId="446ED6B4" w14:textId="77777777" w:rsidR="00E678CF" w:rsidRPr="001E7374" w:rsidRDefault="00E678CF" w:rsidP="009C0947">
      <w:pPr>
        <w:spacing w:before="100" w:line="360" w:lineRule="auto"/>
        <w:ind w:right="108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6B2F9653" w14:textId="77777777" w:rsidR="0053159F" w:rsidRPr="001E7374" w:rsidRDefault="009E4701" w:rsidP="009C0947">
      <w:pPr>
        <w:spacing w:before="100" w:line="360" w:lineRule="auto"/>
        <w:ind w:right="108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DESCRIPCIÓN DEL PROCEDIMIENTO</w:t>
      </w:r>
    </w:p>
    <w:p w14:paraId="1BA6CD50" w14:textId="77777777" w:rsidR="00161A6F" w:rsidRPr="001E7374" w:rsidRDefault="00161A6F" w:rsidP="009C0947">
      <w:pPr>
        <w:spacing w:before="100" w:line="360" w:lineRule="auto"/>
        <w:ind w:right="108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691F43E9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11.1. Procedimiento de envío de la documentación</w:t>
      </w:r>
    </w:p>
    <w:p w14:paraId="6F7D3748" w14:textId="6A485383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La documenta</w:t>
      </w:r>
      <w:r w:rsidR="00161A6F" w:rsidRPr="001E7374">
        <w:rPr>
          <w:rFonts w:ascii="Tahoma" w:eastAsiaTheme="minorHAnsi" w:hAnsi="Tahoma" w:cs="Tahoma"/>
          <w:lang w:val="es-ES"/>
        </w:rPr>
        <w:t xml:space="preserve">ción que se ha de enviar al </w:t>
      </w:r>
      <w:proofErr w:type="spellStart"/>
      <w:r w:rsidR="00F2751D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F2751D" w:rsidRPr="001E7374">
        <w:rPr>
          <w:rFonts w:ascii="Tahoma" w:eastAsiaTheme="minorHAnsi" w:hAnsi="Tahoma" w:cs="Tahoma"/>
          <w:lang w:val="es-ES"/>
        </w:rPr>
        <w:t xml:space="preserve"> de</w:t>
      </w:r>
      <w:r w:rsidR="00F2751D">
        <w:rPr>
          <w:rFonts w:ascii="Tahoma" w:eastAsiaTheme="minorHAnsi" w:hAnsi="Tahoma" w:cs="Tahoma"/>
          <w:lang w:val="es-ES"/>
        </w:rPr>
        <w:t xml:space="preserve"> las Áreas de Salud de</w:t>
      </w:r>
      <w:r w:rsidR="00F2751D" w:rsidRPr="001E7374">
        <w:rPr>
          <w:rFonts w:ascii="Tahoma" w:eastAsiaTheme="minorHAnsi" w:hAnsi="Tahoma" w:cs="Tahoma"/>
          <w:lang w:val="es-ES"/>
        </w:rPr>
        <w:t xml:space="preserve"> León</w:t>
      </w:r>
      <w:r w:rsidR="00F2751D">
        <w:rPr>
          <w:rFonts w:ascii="Tahoma" w:eastAsiaTheme="minorHAnsi" w:hAnsi="Tahoma" w:cs="Tahoma"/>
          <w:lang w:val="es-ES"/>
        </w:rPr>
        <w:t xml:space="preserve"> y del Bierzo</w:t>
      </w:r>
      <w:r w:rsidRPr="001E7374">
        <w:rPr>
          <w:rFonts w:ascii="Tahoma" w:eastAsiaTheme="minorHAnsi" w:hAnsi="Tahoma" w:cs="Tahoma"/>
          <w:lang w:val="es-ES"/>
        </w:rPr>
        <w:t xml:space="preserve"> y la manera de hac</w:t>
      </w:r>
      <w:r w:rsidR="00161A6F" w:rsidRPr="001E7374">
        <w:rPr>
          <w:rFonts w:ascii="Tahoma" w:eastAsiaTheme="minorHAnsi" w:hAnsi="Tahoma" w:cs="Tahoma"/>
          <w:lang w:val="es-ES"/>
        </w:rPr>
        <w:t xml:space="preserve">erlo dependerán del tipo de </w:t>
      </w:r>
      <w:r w:rsidRPr="001E7374">
        <w:rPr>
          <w:rFonts w:ascii="Tahoma" w:eastAsiaTheme="minorHAnsi" w:hAnsi="Tahoma" w:cs="Tahoma"/>
          <w:lang w:val="es-ES"/>
        </w:rPr>
        <w:t>estudio que se vaya a evaluar.</w:t>
      </w:r>
    </w:p>
    <w:p w14:paraId="31BEA5BD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Para los </w:t>
      </w:r>
      <w:r w:rsidRPr="001E7374">
        <w:rPr>
          <w:rFonts w:ascii="Tahoma" w:eastAsiaTheme="minorHAnsi" w:hAnsi="Tahoma" w:cs="Tahoma"/>
          <w:b/>
          <w:bCs/>
          <w:lang w:val="es-ES"/>
        </w:rPr>
        <w:t xml:space="preserve">Ensayos Clínicos con Medicamentos </w:t>
      </w:r>
      <w:r w:rsidRPr="001E7374">
        <w:rPr>
          <w:rFonts w:ascii="Tahoma" w:eastAsiaTheme="minorHAnsi" w:hAnsi="Tahoma" w:cs="Tahoma"/>
          <w:lang w:val="es-ES"/>
        </w:rPr>
        <w:t>existe una aplicación en la AEMPS que permite que los</w:t>
      </w:r>
      <w:r w:rsidR="00D6790A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promotores soliciten la evaluación aportando la documentación necesaria. Por tanto, siempre que se presente</w:t>
      </w:r>
      <w:r w:rsidR="00D6790A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un estudio de este tipo se indicará al promotor que lo presente por esta vía.</w:t>
      </w:r>
    </w:p>
    <w:p w14:paraId="79E922BE" w14:textId="0DD480C8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En los </w:t>
      </w:r>
      <w:r w:rsidRPr="001E7374">
        <w:rPr>
          <w:rFonts w:ascii="Tahoma" w:eastAsiaTheme="minorHAnsi" w:hAnsi="Tahoma" w:cs="Tahoma"/>
          <w:b/>
          <w:bCs/>
          <w:lang w:val="es-ES"/>
        </w:rPr>
        <w:t xml:space="preserve">demás tipos de estudio </w:t>
      </w:r>
      <w:r w:rsidRPr="001E7374">
        <w:rPr>
          <w:rFonts w:ascii="Tahoma" w:eastAsiaTheme="minorHAnsi" w:hAnsi="Tahoma" w:cs="Tahoma"/>
          <w:lang w:val="es-ES"/>
        </w:rPr>
        <w:t xml:space="preserve">el </w:t>
      </w:r>
      <w:proofErr w:type="spellStart"/>
      <w:r w:rsidR="00F2751D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F2751D" w:rsidRPr="001E7374">
        <w:rPr>
          <w:rFonts w:ascii="Tahoma" w:eastAsiaTheme="minorHAnsi" w:hAnsi="Tahoma" w:cs="Tahoma"/>
          <w:lang w:val="es-ES"/>
        </w:rPr>
        <w:t xml:space="preserve"> de</w:t>
      </w:r>
      <w:r w:rsidR="00F2751D">
        <w:rPr>
          <w:rFonts w:ascii="Tahoma" w:eastAsiaTheme="minorHAnsi" w:hAnsi="Tahoma" w:cs="Tahoma"/>
          <w:lang w:val="es-ES"/>
        </w:rPr>
        <w:t xml:space="preserve"> las Áreas de Salud de</w:t>
      </w:r>
      <w:r w:rsidR="00F2751D" w:rsidRPr="001E7374">
        <w:rPr>
          <w:rFonts w:ascii="Tahoma" w:eastAsiaTheme="minorHAnsi" w:hAnsi="Tahoma" w:cs="Tahoma"/>
          <w:lang w:val="es-ES"/>
        </w:rPr>
        <w:t xml:space="preserve"> León</w:t>
      </w:r>
      <w:r w:rsidR="00F2751D">
        <w:rPr>
          <w:rFonts w:ascii="Tahoma" w:eastAsiaTheme="minorHAnsi" w:hAnsi="Tahoma" w:cs="Tahoma"/>
          <w:lang w:val="es-ES"/>
        </w:rPr>
        <w:t xml:space="preserve"> y del Bierzo</w:t>
      </w:r>
      <w:r w:rsidRPr="001E7374">
        <w:rPr>
          <w:rFonts w:ascii="Tahoma" w:eastAsiaTheme="minorHAnsi" w:hAnsi="Tahoma" w:cs="Tahoma"/>
          <w:lang w:val="es-ES"/>
        </w:rPr>
        <w:t xml:space="preserve"> aceptará la recepción de documentación por otras vías.</w:t>
      </w:r>
    </w:p>
    <w:p w14:paraId="7FE6C01E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La documentación se enviará preferiblemente en formato electrónico. </w:t>
      </w:r>
    </w:p>
    <w:p w14:paraId="52652AB8" w14:textId="77777777" w:rsidR="00D6790A" w:rsidRPr="001E7374" w:rsidRDefault="000071A5" w:rsidP="009C0947">
      <w:pPr>
        <w:spacing w:line="360" w:lineRule="auto"/>
        <w:jc w:val="both"/>
        <w:rPr>
          <w:rFonts w:ascii="Tahoma" w:hAnsi="Tahoma" w:cs="Tahoma"/>
          <w:bCs/>
          <w:lang w:val="es-ES"/>
        </w:rPr>
      </w:pPr>
      <w:r w:rsidRPr="001E7374">
        <w:rPr>
          <w:rFonts w:ascii="Tahoma" w:hAnsi="Tahoma" w:cs="Tahoma"/>
          <w:bCs/>
          <w:lang w:val="es-ES"/>
        </w:rPr>
        <w:t>D</w:t>
      </w:r>
      <w:r w:rsidR="00D6790A" w:rsidRPr="001E7374">
        <w:rPr>
          <w:rFonts w:ascii="Tahoma" w:hAnsi="Tahoma" w:cs="Tahoma"/>
          <w:bCs/>
          <w:lang w:val="es-ES"/>
        </w:rPr>
        <w:t>ado que esta debe obrar en poder de los miembros del Comité 7 días antes de la reunión. Se aceptará por ello como plazo máximo de entrega los día</w:t>
      </w:r>
      <w:r w:rsidRPr="001E7374">
        <w:rPr>
          <w:rFonts w:ascii="Tahoma" w:hAnsi="Tahoma" w:cs="Tahoma"/>
          <w:bCs/>
          <w:lang w:val="es-ES"/>
        </w:rPr>
        <w:t xml:space="preserve">s </w:t>
      </w:r>
      <w:r w:rsidRPr="001E7374">
        <w:rPr>
          <w:rFonts w:ascii="Tahoma" w:hAnsi="Tahoma" w:cs="Tahoma"/>
          <w:lang w:val="es-ES"/>
        </w:rPr>
        <w:t>1-20 mes</w:t>
      </w:r>
      <w:r w:rsidRPr="001E7374">
        <w:rPr>
          <w:rFonts w:ascii="Tahoma" w:hAnsi="Tahoma" w:cs="Tahoma"/>
          <w:bCs/>
          <w:lang w:val="es-ES"/>
        </w:rPr>
        <w:t xml:space="preserve"> para e</w:t>
      </w:r>
      <w:r w:rsidR="00D6790A" w:rsidRPr="001E7374">
        <w:rPr>
          <w:rFonts w:ascii="Tahoma" w:hAnsi="Tahoma" w:cs="Tahoma"/>
          <w:lang w:val="es-ES"/>
        </w:rPr>
        <w:t>studios observacionales y resto de proyectos</w:t>
      </w:r>
      <w:r w:rsidRPr="001E7374">
        <w:rPr>
          <w:rFonts w:ascii="Tahoma" w:hAnsi="Tahoma" w:cs="Tahoma"/>
          <w:lang w:val="es-ES"/>
        </w:rPr>
        <w:t>.</w:t>
      </w:r>
      <w:r w:rsidR="00D6790A" w:rsidRPr="001E7374">
        <w:rPr>
          <w:rFonts w:ascii="Tahoma" w:hAnsi="Tahoma" w:cs="Tahoma"/>
          <w:lang w:val="es-ES"/>
        </w:rPr>
        <w:t xml:space="preserve"> </w:t>
      </w:r>
    </w:p>
    <w:p w14:paraId="0E24BD5F" w14:textId="77777777" w:rsidR="001D33E5" w:rsidRPr="001E7374" w:rsidRDefault="00B17454" w:rsidP="009C0947">
      <w:pPr>
        <w:widowControl/>
        <w:autoSpaceDE/>
        <w:autoSpaceDN/>
        <w:spacing w:line="360" w:lineRule="auto"/>
        <w:jc w:val="both"/>
        <w:rPr>
          <w:rFonts w:ascii="Tahoma" w:hAnsi="Tahoma" w:cs="Tahoma"/>
          <w:bCs/>
          <w:lang w:val="es-ES"/>
        </w:rPr>
      </w:pPr>
      <w:r w:rsidRPr="001E7374">
        <w:rPr>
          <w:rFonts w:ascii="Tahoma" w:hAnsi="Tahoma" w:cs="Tahoma"/>
          <w:bCs/>
          <w:lang w:val="es-ES"/>
        </w:rPr>
        <w:t>D</w:t>
      </w:r>
      <w:r w:rsidR="001D33E5" w:rsidRPr="001E7374">
        <w:rPr>
          <w:rFonts w:ascii="Tahoma" w:hAnsi="Tahoma" w:cs="Tahoma"/>
          <w:bCs/>
          <w:lang w:val="es-ES"/>
        </w:rPr>
        <w:t>ocumentación en formato digital: Se enviará copia de los documentos solicitados en formato .</w:t>
      </w:r>
      <w:proofErr w:type="spellStart"/>
      <w:r w:rsidR="001D33E5" w:rsidRPr="001E7374">
        <w:rPr>
          <w:rFonts w:ascii="Tahoma" w:hAnsi="Tahoma" w:cs="Tahoma"/>
          <w:bCs/>
          <w:lang w:val="es-ES"/>
        </w:rPr>
        <w:t>pdf</w:t>
      </w:r>
      <w:proofErr w:type="spellEnd"/>
      <w:r w:rsidR="001D33E5" w:rsidRPr="001E7374">
        <w:rPr>
          <w:rFonts w:ascii="Tahoma" w:hAnsi="Tahoma" w:cs="Tahoma"/>
          <w:bCs/>
          <w:lang w:val="es-ES"/>
        </w:rPr>
        <w:t xml:space="preserve">, bien en un solo documento, bien en forma de archivo comprimido único. El soporte informático puede ser CD, dispositivo de memoria USB o enviado por correo electrónico: </w:t>
      </w:r>
      <w:hyperlink r:id="rId8" w:history="1">
        <w:r w:rsidR="001D33E5" w:rsidRPr="001E7374">
          <w:rPr>
            <w:rFonts w:ascii="Tahoma" w:hAnsi="Tahoma" w:cs="Tahoma"/>
            <w:bCs/>
            <w:lang w:val="es-ES"/>
          </w:rPr>
          <w:t>ceicleon@saludcastillayleon.es</w:t>
        </w:r>
      </w:hyperlink>
    </w:p>
    <w:p w14:paraId="3281A7E6" w14:textId="77777777" w:rsidR="00D6790A" w:rsidRPr="001E7374" w:rsidRDefault="00D6790A" w:rsidP="009C0947">
      <w:pPr>
        <w:spacing w:line="360" w:lineRule="auto"/>
        <w:jc w:val="both"/>
        <w:rPr>
          <w:rFonts w:ascii="Tahoma" w:hAnsi="Tahoma" w:cs="Tahoma"/>
          <w:bCs/>
          <w:lang w:val="es-ES"/>
        </w:rPr>
      </w:pPr>
    </w:p>
    <w:p w14:paraId="7A8BA978" w14:textId="77777777" w:rsidR="007349F9" w:rsidRDefault="007349F9">
      <w:pPr>
        <w:autoSpaceDE/>
        <w:autoSpaceDN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br w:type="page"/>
      </w:r>
    </w:p>
    <w:p w14:paraId="3312F9D9" w14:textId="698968A7" w:rsidR="00D6790A" w:rsidRPr="001E7374" w:rsidRDefault="001D33E5" w:rsidP="009C0947">
      <w:pPr>
        <w:spacing w:line="360" w:lineRule="auto"/>
        <w:jc w:val="both"/>
        <w:rPr>
          <w:rFonts w:ascii="Tahoma" w:hAnsi="Tahoma" w:cs="Tahoma"/>
          <w:bCs/>
          <w:lang w:val="es-ES"/>
        </w:rPr>
      </w:pPr>
      <w:r w:rsidRPr="001E7374">
        <w:rPr>
          <w:rFonts w:ascii="Tahoma" w:hAnsi="Tahoma" w:cs="Tahoma"/>
          <w:bCs/>
          <w:lang w:val="es-ES"/>
        </w:rPr>
        <w:lastRenderedPageBreak/>
        <w:t>D</w:t>
      </w:r>
      <w:r w:rsidR="00D6790A" w:rsidRPr="001E7374">
        <w:rPr>
          <w:rFonts w:ascii="Tahoma" w:hAnsi="Tahoma" w:cs="Tahoma"/>
          <w:bCs/>
          <w:lang w:val="es-ES"/>
        </w:rPr>
        <w:t>irección</w:t>
      </w:r>
      <w:r w:rsidRPr="001E7374">
        <w:rPr>
          <w:rFonts w:ascii="Tahoma" w:hAnsi="Tahoma" w:cs="Tahoma"/>
          <w:bCs/>
          <w:lang w:val="es-ES"/>
        </w:rPr>
        <w:t xml:space="preserve"> </w:t>
      </w:r>
      <w:proofErr w:type="spellStart"/>
      <w:r w:rsidR="008935CB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8935CB" w:rsidRPr="001E7374">
        <w:rPr>
          <w:rFonts w:ascii="Tahoma" w:eastAsiaTheme="minorHAnsi" w:hAnsi="Tahoma" w:cs="Tahoma"/>
          <w:lang w:val="es-ES"/>
        </w:rPr>
        <w:t xml:space="preserve"> de</w:t>
      </w:r>
      <w:r w:rsidR="008935CB">
        <w:rPr>
          <w:rFonts w:ascii="Tahoma" w:eastAsiaTheme="minorHAnsi" w:hAnsi="Tahoma" w:cs="Tahoma"/>
          <w:lang w:val="es-ES"/>
        </w:rPr>
        <w:t xml:space="preserve"> las Áreas de Salud de</w:t>
      </w:r>
      <w:r w:rsidR="008935CB" w:rsidRPr="001E7374">
        <w:rPr>
          <w:rFonts w:ascii="Tahoma" w:eastAsiaTheme="minorHAnsi" w:hAnsi="Tahoma" w:cs="Tahoma"/>
          <w:lang w:val="es-ES"/>
        </w:rPr>
        <w:t xml:space="preserve"> León</w:t>
      </w:r>
      <w:r w:rsidR="008935CB">
        <w:rPr>
          <w:rFonts w:ascii="Tahoma" w:eastAsiaTheme="minorHAnsi" w:hAnsi="Tahoma" w:cs="Tahoma"/>
          <w:lang w:val="es-ES"/>
        </w:rPr>
        <w:t xml:space="preserve"> y del Bierzo</w:t>
      </w:r>
      <w:r w:rsidR="00D6790A" w:rsidRPr="001E7374">
        <w:rPr>
          <w:rFonts w:ascii="Tahoma" w:hAnsi="Tahoma" w:cs="Tahoma"/>
          <w:bCs/>
          <w:lang w:val="es-ES"/>
        </w:rPr>
        <w:t>:</w:t>
      </w:r>
    </w:p>
    <w:p w14:paraId="7A07C4C2" w14:textId="77777777" w:rsidR="00D6790A" w:rsidRPr="001E7374" w:rsidRDefault="00D6790A" w:rsidP="009C0947">
      <w:pPr>
        <w:spacing w:line="360" w:lineRule="auto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lang w:val="es-ES"/>
        </w:rPr>
        <w:t xml:space="preserve">         C/ Altos de Nava, s/n - 24080 León</w:t>
      </w:r>
    </w:p>
    <w:p w14:paraId="171438E5" w14:textId="77777777" w:rsidR="00D6790A" w:rsidRPr="001E7374" w:rsidRDefault="00D6790A" w:rsidP="009C0947">
      <w:pPr>
        <w:spacing w:line="360" w:lineRule="auto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lang w:val="es-ES"/>
        </w:rPr>
        <w:t xml:space="preserve">          ceicleon@saludcastillayleon.es</w:t>
      </w:r>
    </w:p>
    <w:p w14:paraId="7DD76AC0" w14:textId="77777777" w:rsidR="00D6790A" w:rsidRPr="001E7374" w:rsidRDefault="00D6790A" w:rsidP="009C0947">
      <w:pPr>
        <w:spacing w:line="360" w:lineRule="auto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lang w:val="es-ES"/>
        </w:rPr>
        <w:t xml:space="preserve">          Tel.: 987 23 74 00 </w:t>
      </w:r>
      <w:proofErr w:type="spellStart"/>
      <w:r w:rsidRPr="001E7374">
        <w:rPr>
          <w:rFonts w:ascii="Tahoma" w:hAnsi="Tahoma" w:cs="Tahoma"/>
          <w:lang w:val="es-ES"/>
        </w:rPr>
        <w:t>ext</w:t>
      </w:r>
      <w:proofErr w:type="spellEnd"/>
      <w:r w:rsidRPr="001E7374">
        <w:rPr>
          <w:rFonts w:ascii="Tahoma" w:hAnsi="Tahoma" w:cs="Tahoma"/>
          <w:lang w:val="es-ES"/>
        </w:rPr>
        <w:t xml:space="preserve"> 43042</w:t>
      </w:r>
    </w:p>
    <w:p w14:paraId="4C27457B" w14:textId="77777777" w:rsidR="00D6790A" w:rsidRPr="001E7374" w:rsidRDefault="00D6790A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5CC948CD" w14:textId="06D4D2A0" w:rsidR="00206E11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 xml:space="preserve">11.2. Documentación a presentar al </w:t>
      </w:r>
      <w:proofErr w:type="spellStart"/>
      <w:r w:rsidR="008935CB" w:rsidRPr="008935CB">
        <w:rPr>
          <w:rFonts w:ascii="Tahoma" w:eastAsiaTheme="minorHAnsi" w:hAnsi="Tahoma" w:cs="Tahoma"/>
          <w:b/>
          <w:lang w:val="es-ES"/>
        </w:rPr>
        <w:t>CEIm</w:t>
      </w:r>
      <w:proofErr w:type="spellEnd"/>
      <w:r w:rsidR="008935CB" w:rsidRPr="008935CB">
        <w:rPr>
          <w:rFonts w:ascii="Tahoma" w:eastAsiaTheme="minorHAnsi" w:hAnsi="Tahoma" w:cs="Tahoma"/>
          <w:b/>
          <w:lang w:val="es-ES"/>
        </w:rPr>
        <w:t xml:space="preserve"> de las Áreas de Salud de León y del Bierzo</w:t>
      </w:r>
      <w:r w:rsidR="008935CB">
        <w:rPr>
          <w:rFonts w:ascii="Tahoma" w:eastAsiaTheme="minorHAnsi" w:hAnsi="Tahoma" w:cs="Tahoma"/>
          <w:b/>
          <w:lang w:val="es-ES"/>
        </w:rPr>
        <w:t>.</w:t>
      </w:r>
      <w:r w:rsidRPr="008935CB">
        <w:rPr>
          <w:rFonts w:ascii="Tahoma" w:eastAsiaTheme="minorHAnsi" w:hAnsi="Tahoma" w:cs="Tahoma"/>
          <w:b/>
          <w:bCs/>
          <w:lang w:val="es-ES"/>
        </w:rPr>
        <w:t xml:space="preserve"> </w:t>
      </w:r>
    </w:p>
    <w:p w14:paraId="30FAC075" w14:textId="619B0D38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El </w:t>
      </w:r>
      <w:proofErr w:type="spellStart"/>
      <w:r w:rsidR="008935CB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8935CB" w:rsidRPr="001E7374">
        <w:rPr>
          <w:rFonts w:ascii="Tahoma" w:eastAsiaTheme="minorHAnsi" w:hAnsi="Tahoma" w:cs="Tahoma"/>
          <w:lang w:val="es-ES"/>
        </w:rPr>
        <w:t xml:space="preserve"> de</w:t>
      </w:r>
      <w:r w:rsidR="008935CB">
        <w:rPr>
          <w:rFonts w:ascii="Tahoma" w:eastAsiaTheme="minorHAnsi" w:hAnsi="Tahoma" w:cs="Tahoma"/>
          <w:lang w:val="es-ES"/>
        </w:rPr>
        <w:t xml:space="preserve"> las Áreas de Salud de</w:t>
      </w:r>
      <w:r w:rsidR="008935CB" w:rsidRPr="001E7374">
        <w:rPr>
          <w:rFonts w:ascii="Tahoma" w:eastAsiaTheme="minorHAnsi" w:hAnsi="Tahoma" w:cs="Tahoma"/>
          <w:lang w:val="es-ES"/>
        </w:rPr>
        <w:t xml:space="preserve"> León</w:t>
      </w:r>
      <w:r w:rsidR="008935CB">
        <w:rPr>
          <w:rFonts w:ascii="Tahoma" w:eastAsiaTheme="minorHAnsi" w:hAnsi="Tahoma" w:cs="Tahoma"/>
          <w:lang w:val="es-ES"/>
        </w:rPr>
        <w:t xml:space="preserve"> y del Bierzo</w:t>
      </w:r>
      <w:r w:rsidR="008935CB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pondrá en conocimiento de los promotores de proyectos de</w:t>
      </w:r>
      <w:r w:rsidR="00B7745F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investigación y de las organizaciones de investigación por contrato (CRO por sus siglas en inglés) la</w:t>
      </w:r>
      <w:r w:rsidR="00B7745F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documentación que se precisa para la evaluación de cada tipo de estudio.</w:t>
      </w:r>
    </w:p>
    <w:p w14:paraId="1EB61622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Esta labor se realizará mediante la página web del comité y respondiendo a las consultas que los promotores o</w:t>
      </w:r>
      <w:r w:rsidR="00B7745F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las CRO realicen por correo electrónico o por otros medios.</w:t>
      </w:r>
    </w:p>
    <w:p w14:paraId="4A7BD0B8" w14:textId="77777777" w:rsidR="00B7745F" w:rsidRPr="001E7374" w:rsidRDefault="00B7745F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0B030FCB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11.2.1. Ensayos clínicos con medicamentos:</w:t>
      </w:r>
    </w:p>
    <w:p w14:paraId="0F819645" w14:textId="69AE5CB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Para la evaluación de ensayos clínicos en los que el </w:t>
      </w:r>
      <w:proofErr w:type="spellStart"/>
      <w:r w:rsidR="008935CB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8935CB" w:rsidRPr="001E7374">
        <w:rPr>
          <w:rFonts w:ascii="Tahoma" w:eastAsiaTheme="minorHAnsi" w:hAnsi="Tahoma" w:cs="Tahoma"/>
          <w:lang w:val="es-ES"/>
        </w:rPr>
        <w:t xml:space="preserve"> de</w:t>
      </w:r>
      <w:r w:rsidR="008935CB">
        <w:rPr>
          <w:rFonts w:ascii="Tahoma" w:eastAsiaTheme="minorHAnsi" w:hAnsi="Tahoma" w:cs="Tahoma"/>
          <w:lang w:val="es-ES"/>
        </w:rPr>
        <w:t xml:space="preserve"> las Áreas de Salud de</w:t>
      </w:r>
      <w:r w:rsidR="008935CB" w:rsidRPr="001E7374">
        <w:rPr>
          <w:rFonts w:ascii="Tahoma" w:eastAsiaTheme="minorHAnsi" w:hAnsi="Tahoma" w:cs="Tahoma"/>
          <w:lang w:val="es-ES"/>
        </w:rPr>
        <w:t xml:space="preserve"> León</w:t>
      </w:r>
      <w:r w:rsidR="008935CB">
        <w:rPr>
          <w:rFonts w:ascii="Tahoma" w:eastAsiaTheme="minorHAnsi" w:hAnsi="Tahoma" w:cs="Tahoma"/>
          <w:lang w:val="es-ES"/>
        </w:rPr>
        <w:t xml:space="preserve"> y del Bierzo</w:t>
      </w:r>
      <w:r w:rsidRPr="001E7374">
        <w:rPr>
          <w:rFonts w:ascii="Tahoma" w:eastAsiaTheme="minorHAnsi" w:hAnsi="Tahoma" w:cs="Tahoma"/>
          <w:lang w:val="es-ES"/>
        </w:rPr>
        <w:t xml:space="preserve"> sea elegido comité evaluador el</w:t>
      </w:r>
      <w:r w:rsidR="009146CF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promotor deberá aportar, a través de la aplicación correspondiente de la AEPMS, la documentación que</w:t>
      </w:r>
      <w:r w:rsidR="009146CF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se indica en el anexo I del “Documento de instrucciones de la Agencia Española de Medicamentos y</w:t>
      </w:r>
      <w:r w:rsidR="009146CF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Productos Sanitarios para la realización de ensayos clínicos en España”. Para facilitar la consulta, se</w:t>
      </w:r>
      <w:r w:rsidR="009146CF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adjunta dicho anexo en este PNT, constituyendo el Anexo VI del presente documento.</w:t>
      </w:r>
    </w:p>
    <w:p w14:paraId="796E9F64" w14:textId="77777777" w:rsidR="00B80B8D" w:rsidRPr="001E7374" w:rsidRDefault="00B80B8D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23E5C6BA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11.2.2. Estudios observacionales post</w:t>
      </w:r>
      <w:r w:rsidRPr="001E7374">
        <w:rPr>
          <w:rFonts w:ascii="Calibri" w:eastAsia="Calibri" w:hAnsi="Calibri" w:cs="Calibri"/>
          <w:u w:val="single"/>
          <w:lang w:val="es-ES"/>
        </w:rPr>
        <w:t>‐</w:t>
      </w:r>
      <w:r w:rsidRPr="001E7374">
        <w:rPr>
          <w:rFonts w:ascii="Tahoma" w:eastAsiaTheme="minorHAnsi" w:hAnsi="Tahoma" w:cs="Tahoma"/>
          <w:u w:val="single"/>
          <w:lang w:val="es-ES"/>
        </w:rPr>
        <w:t>autorización con medicamentos</w:t>
      </w:r>
    </w:p>
    <w:p w14:paraId="410589BD" w14:textId="77777777" w:rsidR="00B80B8D" w:rsidRPr="001E7374" w:rsidRDefault="00575B6A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Se deberá aportar:</w:t>
      </w:r>
    </w:p>
    <w:p w14:paraId="0C81EC08" w14:textId="77777777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Relación de documentos</w:t>
      </w:r>
    </w:p>
    <w:p w14:paraId="6F48B69C" w14:textId="77777777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Nombre de la persona de contacto, dirección postal completa, teléfonos de contacto y correo electrónico.</w:t>
      </w:r>
    </w:p>
    <w:p w14:paraId="5392785B" w14:textId="77777777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Escrito de solicitud</w:t>
      </w:r>
      <w:r w:rsidR="00F97939" w:rsidRPr="001E7374">
        <w:rPr>
          <w:rFonts w:ascii="Tahoma" w:eastAsiaTheme="minorHAnsi" w:hAnsi="Tahoma" w:cs="Tahoma"/>
          <w:lang w:val="es-ES"/>
        </w:rPr>
        <w:t xml:space="preserve"> de evaluación.</w:t>
      </w:r>
    </w:p>
    <w:p w14:paraId="3520144D" w14:textId="581AFA01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Hoja de presentación de un estudio </w:t>
      </w:r>
      <w:r w:rsidR="000075AA" w:rsidRPr="001E7374">
        <w:rPr>
          <w:rFonts w:ascii="Tahoma" w:eastAsiaTheme="minorHAnsi" w:hAnsi="Tahoma" w:cs="Tahoma"/>
          <w:lang w:val="es-ES"/>
        </w:rPr>
        <w:t>(ANEXO XII</w:t>
      </w:r>
      <w:r w:rsidRPr="001E7374">
        <w:rPr>
          <w:rFonts w:ascii="Tahoma" w:eastAsiaTheme="minorHAnsi" w:hAnsi="Tahoma" w:cs="Tahoma"/>
          <w:lang w:val="es-ES"/>
        </w:rPr>
        <w:t>: CEIm-E</w:t>
      </w:r>
      <w:r w:rsidR="00742BE6" w:rsidRPr="001E7374">
        <w:rPr>
          <w:rFonts w:ascii="Tahoma" w:eastAsiaTheme="minorHAnsi" w:hAnsi="Tahoma" w:cs="Tahoma"/>
          <w:lang w:val="es-ES"/>
        </w:rPr>
        <w:t>O</w:t>
      </w:r>
      <w:r w:rsidRPr="001E7374">
        <w:rPr>
          <w:rFonts w:ascii="Tahoma" w:eastAsiaTheme="minorHAnsi" w:hAnsi="Tahoma" w:cs="Tahoma"/>
          <w:lang w:val="es-ES"/>
        </w:rPr>
        <w:t>-001). Se hace especial hincapié en que debe ser firmada por el Responsable del Servicio o Unidad. La omisión de esta firma hará que no se tramite su revisión por el Comité.</w:t>
      </w:r>
    </w:p>
    <w:p w14:paraId="2AB78E43" w14:textId="77777777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Currículum vitae breve de investigadores.</w:t>
      </w:r>
    </w:p>
    <w:p w14:paraId="5ED97455" w14:textId="2194A84A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Declaración expresa de que se somete a la últi</w:t>
      </w:r>
      <w:r w:rsidR="007349F9">
        <w:rPr>
          <w:rFonts w:ascii="Tahoma" w:eastAsiaTheme="minorHAnsi" w:hAnsi="Tahoma" w:cs="Tahoma"/>
          <w:lang w:val="es-ES"/>
        </w:rPr>
        <w:t>ma Declaración de Helsinki</w:t>
      </w:r>
      <w:r w:rsidRPr="001E7374">
        <w:rPr>
          <w:rFonts w:ascii="Tahoma" w:eastAsiaTheme="minorHAnsi" w:hAnsi="Tahoma" w:cs="Tahoma"/>
          <w:lang w:val="es-ES"/>
        </w:rPr>
        <w:t xml:space="preserve"> (Fortaleza, Brasil, octubre de 2013).</w:t>
      </w:r>
    </w:p>
    <w:p w14:paraId="5750D278" w14:textId="1DF5EB75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Compromiso del Investigador</w:t>
      </w:r>
      <w:r w:rsidR="00F33364" w:rsidRPr="001E7374">
        <w:rPr>
          <w:rFonts w:ascii="Tahoma" w:eastAsiaTheme="minorHAnsi" w:hAnsi="Tahoma" w:cs="Tahoma"/>
          <w:lang w:val="es-ES"/>
        </w:rPr>
        <w:t xml:space="preserve"> principal</w:t>
      </w:r>
      <w:r w:rsidRPr="001E7374">
        <w:rPr>
          <w:rFonts w:ascii="Tahoma" w:eastAsiaTheme="minorHAnsi" w:hAnsi="Tahoma" w:cs="Tahoma"/>
          <w:lang w:val="es-ES"/>
        </w:rPr>
        <w:t xml:space="preserve">. </w:t>
      </w:r>
      <w:r w:rsidR="000075AA" w:rsidRPr="001E7374">
        <w:rPr>
          <w:rFonts w:ascii="Tahoma" w:eastAsiaTheme="minorHAnsi" w:hAnsi="Tahoma" w:cs="Tahoma"/>
          <w:lang w:val="es-ES"/>
        </w:rPr>
        <w:t>(ANEXO XII</w:t>
      </w:r>
      <w:r w:rsidR="00742BE6" w:rsidRPr="001E7374">
        <w:rPr>
          <w:rFonts w:ascii="Tahoma" w:eastAsiaTheme="minorHAnsi" w:hAnsi="Tahoma" w:cs="Tahoma"/>
          <w:lang w:val="es-ES"/>
        </w:rPr>
        <w:t>: CEIm-EO</w:t>
      </w:r>
      <w:r w:rsidR="005C5929" w:rsidRPr="001E7374">
        <w:rPr>
          <w:rFonts w:ascii="Tahoma" w:eastAsiaTheme="minorHAnsi" w:hAnsi="Tahoma" w:cs="Tahoma"/>
          <w:lang w:val="es-ES"/>
        </w:rPr>
        <w:t>-002</w:t>
      </w:r>
      <w:r w:rsidRPr="001E7374">
        <w:rPr>
          <w:rFonts w:ascii="Tahoma" w:eastAsiaTheme="minorHAnsi" w:hAnsi="Tahoma" w:cs="Tahoma"/>
          <w:lang w:val="es-ES"/>
        </w:rPr>
        <w:t>).</w:t>
      </w:r>
    </w:p>
    <w:p w14:paraId="52A72D85" w14:textId="77777777" w:rsidR="00B80B8D" w:rsidRPr="001E7374" w:rsidRDefault="00B80B8D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lastRenderedPageBreak/>
        <w:t xml:space="preserve">Protocolo, incluido el Consentimiento Informado en los términos del Real Decreto 1090/2015. </w:t>
      </w:r>
    </w:p>
    <w:p w14:paraId="728A1EAE" w14:textId="77777777" w:rsidR="00B80B8D" w:rsidRPr="001E7374" w:rsidRDefault="00B80B8D" w:rsidP="008C5271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Memoria Económica en la que conste que el promotor suministra todos los medicamentos (experimental y en su caso de control) y si por participar en el ensayo se realizan o no pruebas adicionales. </w:t>
      </w:r>
    </w:p>
    <w:p w14:paraId="37C7F179" w14:textId="759E30B0" w:rsidR="00B80B8D" w:rsidRPr="001E7374" w:rsidRDefault="00B80B8D" w:rsidP="008C5271">
      <w:pPr>
        <w:spacing w:line="360" w:lineRule="auto"/>
        <w:ind w:left="993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Si existe compensación económica los Hospitales del Área de salud de León percibirán un 30% en concepto de costes indirectos y</w:t>
      </w:r>
      <w:r w:rsidR="00863B77">
        <w:rPr>
          <w:rFonts w:ascii="Tahoma" w:eastAsiaTheme="minorHAnsi" w:hAnsi="Tahoma" w:cs="Tahoma"/>
          <w:lang w:val="es-ES"/>
        </w:rPr>
        <w:t>,</w:t>
      </w:r>
      <w:r w:rsidRPr="001E7374">
        <w:rPr>
          <w:rFonts w:ascii="Tahoma" w:eastAsiaTheme="minorHAnsi" w:hAnsi="Tahoma" w:cs="Tahoma"/>
          <w:lang w:val="es-ES"/>
        </w:rPr>
        <w:t xml:space="preserve"> además, si por participar en el ensayo se r</w:t>
      </w:r>
      <w:r w:rsidR="007349F9">
        <w:rPr>
          <w:rFonts w:ascii="Tahoma" w:eastAsiaTheme="minorHAnsi" w:hAnsi="Tahoma" w:cs="Tahoma"/>
          <w:lang w:val="es-ES"/>
        </w:rPr>
        <w:t xml:space="preserve">ealizan pruebas adicionales se </w:t>
      </w:r>
      <w:r w:rsidRPr="001E7374">
        <w:rPr>
          <w:rFonts w:ascii="Tahoma" w:eastAsiaTheme="minorHAnsi" w:hAnsi="Tahoma" w:cs="Tahoma"/>
          <w:lang w:val="es-ES"/>
        </w:rPr>
        <w:t>facturan de forma independiente. Deben desglosarse y especificarse los gastos del Servicio de Farmacia (5% del gasto total). Este documento debe venir firmado por el Promotor.</w:t>
      </w:r>
    </w:p>
    <w:p w14:paraId="0C8776F7" w14:textId="6D3B6876" w:rsidR="00B80B8D" w:rsidRPr="001E7374" w:rsidRDefault="00F33364" w:rsidP="009C0947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spacing w:line="360" w:lineRule="auto"/>
        <w:ind w:left="993" w:hanging="426"/>
        <w:jc w:val="both"/>
        <w:rPr>
          <w:rFonts w:ascii="Tahoma" w:eastAsiaTheme="minorHAnsi" w:hAnsi="Tahoma" w:cs="Tahoma"/>
          <w:lang w:val="es-ES"/>
        </w:rPr>
      </w:pPr>
      <w:r w:rsidRPr="00863B77">
        <w:rPr>
          <w:rFonts w:ascii="Tahoma" w:eastAsiaTheme="minorHAnsi" w:hAnsi="Tahoma" w:cs="Tahoma"/>
          <w:lang w:val="es-ES"/>
        </w:rPr>
        <w:t>Resguardo del ingreso de la correspondiente tasa.</w:t>
      </w:r>
      <w:r w:rsidRPr="001E7374">
        <w:rPr>
          <w:rFonts w:ascii="Tahoma" w:eastAsiaTheme="minorHAnsi" w:hAnsi="Tahoma" w:cs="Tahoma"/>
          <w:lang w:val="es-ES"/>
        </w:rPr>
        <w:t xml:space="preserve"> </w:t>
      </w:r>
      <w:r w:rsidR="00314220" w:rsidRPr="001E7374">
        <w:rPr>
          <w:rFonts w:ascii="Tahoma" w:eastAsiaTheme="minorHAnsi" w:hAnsi="Tahoma" w:cs="Tahoma"/>
          <w:lang w:val="es-ES"/>
        </w:rPr>
        <w:t>P</w:t>
      </w:r>
      <w:r w:rsidR="00B80B8D" w:rsidRPr="001E7374">
        <w:rPr>
          <w:rFonts w:ascii="Tahoma" w:eastAsiaTheme="minorHAnsi" w:hAnsi="Tahoma" w:cs="Tahoma"/>
          <w:lang w:val="es-ES"/>
        </w:rPr>
        <w:t xml:space="preserve">ara presentarlo a la firma del contrato, a través de: </w:t>
      </w:r>
      <w:hyperlink r:id="rId9" w:history="1">
        <w:r w:rsidR="005B3587" w:rsidRPr="005B3587">
          <w:rPr>
            <w:rStyle w:val="Hipervnculo"/>
            <w:rFonts w:ascii="Tahoma" w:hAnsi="Tahoma" w:cs="Tahoma"/>
            <w:sz w:val="18"/>
            <w:szCs w:val="18"/>
            <w:lang w:val="es-ES"/>
          </w:rPr>
          <w:t>http://www.saludcastillayleon.es/investigacion/es/ensayos-clinicos</w:t>
        </w:r>
      </w:hyperlink>
      <w:r w:rsidR="005B3587" w:rsidRPr="005B3587">
        <w:rPr>
          <w:rFonts w:ascii="Tahoma" w:hAnsi="Tahoma" w:cs="Tahoma"/>
          <w:sz w:val="18"/>
          <w:szCs w:val="18"/>
          <w:lang w:val="es-ES"/>
        </w:rPr>
        <w:t>.</w:t>
      </w:r>
      <w:r w:rsidR="00B80B8D" w:rsidRPr="001E7374">
        <w:rPr>
          <w:rFonts w:ascii="Tahoma" w:eastAsiaTheme="minorHAnsi" w:hAnsi="Tahoma" w:cs="Tahoma"/>
          <w:lang w:val="es-ES"/>
        </w:rPr>
        <w:t xml:space="preserve"> Si se solicita exención de tasas debe justificarse la petición.</w:t>
      </w:r>
    </w:p>
    <w:p w14:paraId="43EBAA90" w14:textId="77777777" w:rsidR="00B80B8D" w:rsidRPr="001E7374" w:rsidRDefault="00B80B8D" w:rsidP="009C0947">
      <w:pPr>
        <w:pStyle w:val="Sangradetextonormal"/>
        <w:spacing w:line="360" w:lineRule="auto"/>
        <w:ind w:left="0"/>
        <w:jc w:val="both"/>
        <w:rPr>
          <w:rFonts w:ascii="Tahoma" w:eastAsiaTheme="minorHAnsi" w:hAnsi="Tahoma" w:cs="Tahoma"/>
          <w:lang w:val="es-ES"/>
        </w:rPr>
      </w:pPr>
    </w:p>
    <w:p w14:paraId="42FB1F11" w14:textId="77777777" w:rsidR="00B80B8D" w:rsidRPr="001E7374" w:rsidRDefault="00B80B8D" w:rsidP="009C0947">
      <w:pPr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El Complejo Asistencial Universitario de León y el Hospital el Bierzo disponen de modelos de contrato.</w:t>
      </w:r>
    </w:p>
    <w:p w14:paraId="36E3B754" w14:textId="77777777" w:rsidR="00B80B8D" w:rsidRPr="001E7374" w:rsidRDefault="00B80B8D" w:rsidP="009C0947">
      <w:pPr>
        <w:pStyle w:val="Sangradetextonormal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La persona encargada de las negociaciones del contrato:</w:t>
      </w:r>
    </w:p>
    <w:p w14:paraId="58FCD76C" w14:textId="57E423F5" w:rsidR="00B80B8D" w:rsidRPr="001E7374" w:rsidRDefault="00B80B8D" w:rsidP="009C0947">
      <w:pPr>
        <w:pStyle w:val="Sangradetextonormal"/>
        <w:widowControl/>
        <w:numPr>
          <w:ilvl w:val="0"/>
          <w:numId w:val="10"/>
        </w:numPr>
        <w:autoSpaceDE/>
        <w:autoSpaceDN/>
        <w:spacing w:after="0"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Complejo Asistencial Universitario León: Marta Uroz </w:t>
      </w:r>
      <w:hyperlink r:id="rId10" w:history="1">
        <w:r w:rsidR="005B3587" w:rsidRPr="0009088E">
          <w:rPr>
            <w:rStyle w:val="Hipervnculo"/>
            <w:rFonts w:ascii="Tahoma" w:eastAsiaTheme="minorHAnsi" w:hAnsi="Tahoma" w:cs="Tahoma"/>
            <w:lang w:val="es-ES"/>
          </w:rPr>
          <w:t>muroz@saludcastillayleon.es</w:t>
        </w:r>
      </w:hyperlink>
      <w:r w:rsidR="005B3587">
        <w:rPr>
          <w:rFonts w:ascii="Tahoma" w:eastAsiaTheme="minorHAnsi" w:hAnsi="Tahoma" w:cs="Tahoma"/>
          <w:lang w:val="es-ES"/>
        </w:rPr>
        <w:t xml:space="preserve"> </w:t>
      </w:r>
    </w:p>
    <w:p w14:paraId="76E13621" w14:textId="3885B6BA" w:rsidR="00B80B8D" w:rsidRPr="001E7374" w:rsidRDefault="00B80B8D" w:rsidP="009C0947">
      <w:pPr>
        <w:pStyle w:val="Sangradetextonormal"/>
        <w:widowControl/>
        <w:numPr>
          <w:ilvl w:val="0"/>
          <w:numId w:val="10"/>
        </w:numPr>
        <w:autoSpaceDE/>
        <w:autoSpaceDN/>
        <w:spacing w:after="0"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Hospital el Bierzo: Almudena Castro Bayón </w:t>
      </w:r>
      <w:hyperlink r:id="rId11" w:history="1">
        <w:r w:rsidR="005B3587" w:rsidRPr="0009088E">
          <w:rPr>
            <w:rStyle w:val="Hipervnculo"/>
            <w:rFonts w:ascii="Tahoma" w:eastAsiaTheme="minorHAnsi" w:hAnsi="Tahoma" w:cs="Tahoma"/>
            <w:lang w:val="es-ES"/>
          </w:rPr>
          <w:t>acastrob@saludcastillayleon.es</w:t>
        </w:r>
      </w:hyperlink>
      <w:r w:rsidR="005B3587">
        <w:rPr>
          <w:rFonts w:ascii="Tahoma" w:eastAsiaTheme="minorHAnsi" w:hAnsi="Tahoma" w:cs="Tahoma"/>
          <w:lang w:val="es-ES"/>
        </w:rPr>
        <w:t xml:space="preserve"> </w:t>
      </w:r>
    </w:p>
    <w:p w14:paraId="38E67F68" w14:textId="77777777" w:rsidR="00B80B8D" w:rsidRPr="001E7374" w:rsidRDefault="00B80B8D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highlight w:val="yellow"/>
          <w:u w:val="single"/>
          <w:lang w:val="es-ES"/>
        </w:rPr>
      </w:pPr>
    </w:p>
    <w:p w14:paraId="7DB29683" w14:textId="77777777" w:rsidR="009276C2" w:rsidRPr="001E7374" w:rsidRDefault="00C35F9B" w:rsidP="009C0947">
      <w:pPr>
        <w:spacing w:line="360" w:lineRule="auto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11.2.3. Otros estudios observacionales y</w:t>
      </w:r>
      <w:r w:rsidR="009276C2" w:rsidRPr="001E7374">
        <w:rPr>
          <w:rFonts w:ascii="Tahoma" w:eastAsiaTheme="minorHAnsi" w:hAnsi="Tahoma" w:cs="Tahoma"/>
          <w:u w:val="single"/>
          <w:lang w:val="es-ES"/>
        </w:rPr>
        <w:t xml:space="preserve"> otro tipo de estudios (p. ej. tesis doctorales, proyectos fin de master, trabajos fin de grado, posters a congresos, becas de investigación  y cualquier otro proyecto que no pueda ser incluido en apartados anteriores</w:t>
      </w:r>
    </w:p>
    <w:p w14:paraId="474528B5" w14:textId="77777777" w:rsidR="00B5454D" w:rsidRPr="001E7374" w:rsidRDefault="00B5454D" w:rsidP="009C0947">
      <w:pPr>
        <w:spacing w:line="360" w:lineRule="auto"/>
        <w:jc w:val="both"/>
        <w:rPr>
          <w:rFonts w:ascii="Tahoma" w:eastAsiaTheme="minorHAnsi" w:hAnsi="Tahoma" w:cs="Tahoma"/>
          <w:u w:val="single"/>
          <w:lang w:val="es-ES"/>
        </w:rPr>
      </w:pPr>
    </w:p>
    <w:p w14:paraId="4337912E" w14:textId="1ED159E1" w:rsidR="00FA1729" w:rsidRPr="001E7374" w:rsidRDefault="00FA1729" w:rsidP="009C0947">
      <w:pPr>
        <w:widowControl/>
        <w:numPr>
          <w:ilvl w:val="0"/>
          <w:numId w:val="14"/>
        </w:numPr>
        <w:autoSpaceDE/>
        <w:autoSpaceDN/>
        <w:spacing w:line="360" w:lineRule="auto"/>
        <w:ind w:left="993" w:hanging="426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b/>
          <w:lang w:val="es-ES"/>
        </w:rPr>
        <w:t>Escrito de solicitud</w:t>
      </w:r>
      <w:r w:rsidR="00863B77">
        <w:rPr>
          <w:rFonts w:ascii="Tahoma" w:hAnsi="Tahoma" w:cs="Tahoma"/>
          <w:b/>
          <w:lang w:val="es-ES"/>
        </w:rPr>
        <w:t>,</w:t>
      </w:r>
      <w:r w:rsidRPr="001E7374">
        <w:rPr>
          <w:rFonts w:ascii="Tahoma" w:hAnsi="Tahoma" w:cs="Tahoma"/>
          <w:b/>
          <w:lang w:val="es-ES"/>
        </w:rPr>
        <w:t xml:space="preserve"> </w:t>
      </w:r>
      <w:r w:rsidR="00FB3911" w:rsidRPr="001E7374">
        <w:rPr>
          <w:rFonts w:ascii="Tahoma" w:hAnsi="Tahoma" w:cs="Tahoma"/>
          <w:b/>
          <w:lang w:val="es-ES"/>
        </w:rPr>
        <w:t>(ANEXO XII:</w:t>
      </w:r>
      <w:r w:rsidR="00863B77">
        <w:rPr>
          <w:rFonts w:ascii="Tahoma" w:hAnsi="Tahoma" w:cs="Tahoma"/>
          <w:b/>
          <w:lang w:val="es-ES"/>
        </w:rPr>
        <w:t xml:space="preserve"> </w:t>
      </w:r>
      <w:proofErr w:type="spellStart"/>
      <w:r w:rsidR="00863B77">
        <w:rPr>
          <w:rFonts w:ascii="Tahoma" w:hAnsi="Tahoma" w:cs="Tahoma"/>
          <w:b/>
          <w:lang w:val="es-ES"/>
        </w:rPr>
        <w:t>CEIm</w:t>
      </w:r>
      <w:proofErr w:type="spellEnd"/>
      <w:r w:rsidR="00863B77">
        <w:rPr>
          <w:rFonts w:ascii="Tahoma" w:hAnsi="Tahoma" w:cs="Tahoma"/>
          <w:b/>
          <w:lang w:val="es-ES"/>
        </w:rPr>
        <w:t>-AXII</w:t>
      </w:r>
      <w:r w:rsidRPr="001E7374">
        <w:rPr>
          <w:rFonts w:ascii="Tahoma" w:hAnsi="Tahoma" w:cs="Tahoma"/>
          <w:b/>
          <w:lang w:val="es-ES"/>
        </w:rPr>
        <w:t xml:space="preserve">), </w:t>
      </w:r>
      <w:r w:rsidRPr="001E7374">
        <w:rPr>
          <w:rFonts w:ascii="Tahoma" w:hAnsi="Tahoma" w:cs="Tahoma"/>
          <w:lang w:val="es-ES"/>
        </w:rPr>
        <w:t xml:space="preserve">con declaración expresa de que se somete a la </w:t>
      </w:r>
      <w:r w:rsidRPr="001E7374">
        <w:rPr>
          <w:rFonts w:ascii="Tahoma" w:hAnsi="Tahoma" w:cs="Tahoma"/>
          <w:b/>
          <w:lang w:val="es-ES"/>
        </w:rPr>
        <w:t>última</w:t>
      </w:r>
      <w:r w:rsidRPr="001E7374">
        <w:rPr>
          <w:rFonts w:ascii="Tahoma" w:hAnsi="Tahoma" w:cs="Tahoma"/>
          <w:lang w:val="es-ES"/>
        </w:rPr>
        <w:t xml:space="preserve"> </w:t>
      </w:r>
      <w:r w:rsidRPr="001E7374">
        <w:rPr>
          <w:rFonts w:ascii="Tahoma" w:hAnsi="Tahoma" w:cs="Tahoma"/>
          <w:b/>
          <w:lang w:val="es-ES"/>
        </w:rPr>
        <w:t>Declaración de Helsinki</w:t>
      </w:r>
      <w:r w:rsidRPr="001E7374">
        <w:rPr>
          <w:rFonts w:ascii="Tahoma" w:hAnsi="Tahoma" w:cs="Tahoma"/>
          <w:lang w:val="es-ES"/>
        </w:rPr>
        <w:t xml:space="preserve">  (la actual es la de Fortaleza, Brasil, octubre de 2013).</w:t>
      </w:r>
    </w:p>
    <w:p w14:paraId="45C95AFE" w14:textId="6071D5CB" w:rsidR="00FA1729" w:rsidRPr="001E7374" w:rsidRDefault="00FA1729" w:rsidP="009C0947">
      <w:pPr>
        <w:widowControl/>
        <w:numPr>
          <w:ilvl w:val="0"/>
          <w:numId w:val="14"/>
        </w:numPr>
        <w:autoSpaceDE/>
        <w:autoSpaceDN/>
        <w:spacing w:line="360" w:lineRule="auto"/>
        <w:ind w:left="993" w:hanging="426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b/>
          <w:bCs/>
          <w:lang w:val="es-ES"/>
        </w:rPr>
        <w:t>Hoja de presentación</w:t>
      </w:r>
      <w:r w:rsidRPr="001E7374">
        <w:rPr>
          <w:rFonts w:ascii="Tahoma" w:hAnsi="Tahoma" w:cs="Tahoma"/>
          <w:lang w:val="es-ES"/>
        </w:rPr>
        <w:t xml:space="preserve"> de un estudio (</w:t>
      </w:r>
      <w:r w:rsidR="000075AA" w:rsidRPr="001E7374">
        <w:rPr>
          <w:rFonts w:ascii="Tahoma" w:hAnsi="Tahoma" w:cs="Tahoma"/>
          <w:b/>
          <w:lang w:val="es-ES"/>
        </w:rPr>
        <w:t>ANEXO XII</w:t>
      </w:r>
      <w:r w:rsidRPr="001E7374">
        <w:rPr>
          <w:rFonts w:ascii="Tahoma" w:hAnsi="Tahoma" w:cs="Tahoma"/>
          <w:b/>
          <w:lang w:val="es-ES"/>
        </w:rPr>
        <w:t xml:space="preserve">: </w:t>
      </w:r>
      <w:proofErr w:type="spellStart"/>
      <w:r w:rsidR="00863B77">
        <w:rPr>
          <w:rFonts w:ascii="Tahoma" w:hAnsi="Tahoma" w:cs="Tahoma"/>
          <w:b/>
          <w:lang w:val="es-ES"/>
        </w:rPr>
        <w:t>CEIm</w:t>
      </w:r>
      <w:proofErr w:type="spellEnd"/>
      <w:r w:rsidR="00863B77">
        <w:rPr>
          <w:rFonts w:ascii="Tahoma" w:hAnsi="Tahoma" w:cs="Tahoma"/>
          <w:b/>
          <w:lang w:val="es-ES"/>
        </w:rPr>
        <w:t>-AXII</w:t>
      </w:r>
      <w:r w:rsidRPr="001E7374">
        <w:rPr>
          <w:rFonts w:ascii="Tahoma" w:hAnsi="Tahoma" w:cs="Tahoma"/>
          <w:b/>
          <w:lang w:val="es-ES"/>
        </w:rPr>
        <w:t>)</w:t>
      </w:r>
      <w:r w:rsidRPr="001E7374">
        <w:rPr>
          <w:rFonts w:ascii="Tahoma" w:hAnsi="Tahoma" w:cs="Tahoma"/>
          <w:lang w:val="es-ES"/>
        </w:rPr>
        <w:t>. Especial hincapié en que debe ser firmada por el Responsable del Servicio o Unidad. La omisión de esta firma hará que no se tramite su revisión por el Comité.</w:t>
      </w:r>
    </w:p>
    <w:p w14:paraId="58B48E79" w14:textId="77777777" w:rsidR="00FA1729" w:rsidRPr="001E7374" w:rsidRDefault="00FA1729" w:rsidP="009C0947">
      <w:pPr>
        <w:widowControl/>
        <w:numPr>
          <w:ilvl w:val="0"/>
          <w:numId w:val="14"/>
        </w:numPr>
        <w:autoSpaceDE/>
        <w:autoSpaceDN/>
        <w:spacing w:line="360" w:lineRule="auto"/>
        <w:ind w:left="993" w:hanging="426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bCs/>
          <w:lang w:val="es-ES"/>
        </w:rPr>
        <w:t>Currículum vitae breve de investigadores.</w:t>
      </w:r>
    </w:p>
    <w:p w14:paraId="21CAADBF" w14:textId="77777777" w:rsidR="00FA1729" w:rsidRPr="001E7374" w:rsidRDefault="00FA1729" w:rsidP="009C0947">
      <w:pPr>
        <w:widowControl/>
        <w:numPr>
          <w:ilvl w:val="0"/>
          <w:numId w:val="14"/>
        </w:numPr>
        <w:autoSpaceDE/>
        <w:autoSpaceDN/>
        <w:spacing w:line="360" w:lineRule="auto"/>
        <w:ind w:left="993" w:hanging="426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b/>
          <w:lang w:val="es-ES"/>
        </w:rPr>
        <w:t>Protocolo</w:t>
      </w:r>
      <w:r w:rsidRPr="001E7374">
        <w:rPr>
          <w:rFonts w:ascii="Tahoma" w:hAnsi="Tahoma" w:cs="Tahoma"/>
          <w:lang w:val="es-ES"/>
        </w:rPr>
        <w:t xml:space="preserve">, incluido el Consentimiento Informado en los términos del Real Decreto 1090/2015. </w:t>
      </w:r>
    </w:p>
    <w:p w14:paraId="7778408A" w14:textId="77777777" w:rsidR="00FA1729" w:rsidRPr="001E7374" w:rsidRDefault="00FA1729" w:rsidP="009C0947">
      <w:pPr>
        <w:spacing w:line="360" w:lineRule="auto"/>
        <w:jc w:val="both"/>
        <w:rPr>
          <w:rFonts w:ascii="Tahoma" w:hAnsi="Tahoma" w:cs="Tahoma"/>
          <w:lang w:val="es-ES"/>
        </w:rPr>
      </w:pPr>
    </w:p>
    <w:p w14:paraId="5B50EB43" w14:textId="77777777" w:rsidR="00FA1729" w:rsidRPr="001E7374" w:rsidRDefault="00FA1729" w:rsidP="009C0947">
      <w:pPr>
        <w:spacing w:line="360" w:lineRule="auto"/>
        <w:jc w:val="both"/>
        <w:rPr>
          <w:rFonts w:ascii="Tahoma" w:hAnsi="Tahoma" w:cs="Tahoma"/>
          <w:b/>
          <w:lang w:val="es-ES"/>
        </w:rPr>
      </w:pPr>
      <w:r w:rsidRPr="001E7374">
        <w:rPr>
          <w:rFonts w:ascii="Tahoma" w:hAnsi="Tahoma" w:cs="Tahoma"/>
          <w:b/>
          <w:bCs/>
          <w:lang w:val="es-ES"/>
        </w:rPr>
        <w:lastRenderedPageBreak/>
        <w:t xml:space="preserve"> </w:t>
      </w:r>
      <w:r w:rsidRPr="001E7374">
        <w:rPr>
          <w:rFonts w:ascii="Tahoma" w:hAnsi="Tahoma" w:cs="Tahoma"/>
          <w:bCs/>
          <w:lang w:val="es-ES"/>
        </w:rPr>
        <w:t>La documentación original se remitirá del modo que sigu</w:t>
      </w:r>
      <w:r w:rsidRPr="001E7374">
        <w:rPr>
          <w:rFonts w:ascii="Tahoma" w:hAnsi="Tahoma" w:cs="Tahoma"/>
          <w:lang w:val="es-ES"/>
        </w:rPr>
        <w:t>e:</w:t>
      </w:r>
    </w:p>
    <w:p w14:paraId="4A5E505E" w14:textId="77777777" w:rsidR="00FA1729" w:rsidRPr="001E7374" w:rsidRDefault="00FA1729" w:rsidP="009C0947">
      <w:pPr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rFonts w:ascii="Tahoma" w:hAnsi="Tahoma" w:cs="Tahoma"/>
          <w:b/>
          <w:bCs/>
          <w:lang w:val="es-ES"/>
        </w:rPr>
      </w:pPr>
      <w:r w:rsidRPr="001E7374">
        <w:rPr>
          <w:rFonts w:ascii="Tahoma" w:hAnsi="Tahoma" w:cs="Tahoma"/>
          <w:b/>
          <w:bCs/>
          <w:lang w:val="es-ES"/>
        </w:rPr>
        <w:t xml:space="preserve">Documentación en formato digital: </w:t>
      </w:r>
      <w:r w:rsidRPr="001E7374">
        <w:rPr>
          <w:rFonts w:ascii="Tahoma" w:hAnsi="Tahoma" w:cs="Tahoma"/>
          <w:bCs/>
          <w:lang w:val="es-ES"/>
        </w:rPr>
        <w:t xml:space="preserve">Se enviará copia de los documentos solicitados en formato </w:t>
      </w:r>
      <w:r w:rsidRPr="001E7374">
        <w:rPr>
          <w:rFonts w:ascii="Tahoma" w:hAnsi="Tahoma" w:cs="Tahoma"/>
          <w:b/>
          <w:bCs/>
          <w:lang w:val="es-ES"/>
        </w:rPr>
        <w:t>.</w:t>
      </w:r>
      <w:proofErr w:type="spellStart"/>
      <w:r w:rsidRPr="001E7374">
        <w:rPr>
          <w:rFonts w:ascii="Tahoma" w:hAnsi="Tahoma" w:cs="Tahoma"/>
          <w:b/>
          <w:bCs/>
          <w:lang w:val="es-ES"/>
        </w:rPr>
        <w:t>pdf</w:t>
      </w:r>
      <w:proofErr w:type="spellEnd"/>
      <w:r w:rsidRPr="001E7374">
        <w:rPr>
          <w:rFonts w:ascii="Tahoma" w:hAnsi="Tahoma" w:cs="Tahoma"/>
          <w:b/>
          <w:bCs/>
          <w:lang w:val="es-ES"/>
        </w:rPr>
        <w:t xml:space="preserve">, </w:t>
      </w:r>
      <w:r w:rsidRPr="001E7374">
        <w:rPr>
          <w:rFonts w:ascii="Tahoma" w:hAnsi="Tahoma" w:cs="Tahoma"/>
          <w:bCs/>
          <w:lang w:val="es-ES"/>
        </w:rPr>
        <w:t xml:space="preserve">bien en un solo documento, bien en forma de archivo comprimido único. El soporte informático puede ser CD, dispositivo de memoria USB o enviado por correo electrónico: </w:t>
      </w:r>
      <w:hyperlink r:id="rId12" w:history="1">
        <w:r w:rsidRPr="001E7374">
          <w:rPr>
            <w:rStyle w:val="Hipervnculo"/>
            <w:rFonts w:ascii="Tahoma" w:hAnsi="Tahoma" w:cs="Tahoma"/>
            <w:lang w:val="es-ES"/>
          </w:rPr>
          <w:t>ceicleon@saludcastillayleon.es</w:t>
        </w:r>
      </w:hyperlink>
    </w:p>
    <w:p w14:paraId="1F3DF6A0" w14:textId="77777777" w:rsidR="00FA1729" w:rsidRPr="001E7374" w:rsidRDefault="00FA1729" w:rsidP="009C0947">
      <w:pPr>
        <w:spacing w:line="360" w:lineRule="auto"/>
        <w:jc w:val="both"/>
        <w:rPr>
          <w:rFonts w:ascii="Tahoma" w:hAnsi="Tahoma" w:cs="Tahoma"/>
          <w:lang w:val="es-ES"/>
        </w:rPr>
      </w:pPr>
    </w:p>
    <w:p w14:paraId="272B0EC0" w14:textId="77777777" w:rsidR="00FA1729" w:rsidRPr="001E7374" w:rsidRDefault="00FA1729" w:rsidP="009C094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bCs/>
          <w:lang w:val="es-ES"/>
        </w:rPr>
      </w:pPr>
    </w:p>
    <w:p w14:paraId="39E19F30" w14:textId="77777777" w:rsidR="00FA1729" w:rsidRPr="001E7374" w:rsidRDefault="00FA1729" w:rsidP="009C094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lang w:val="es-ES"/>
        </w:rPr>
      </w:pPr>
      <w:r w:rsidRPr="001E7374">
        <w:rPr>
          <w:rFonts w:ascii="Tahoma" w:hAnsi="Tahoma" w:cs="Tahoma"/>
          <w:bCs/>
          <w:lang w:val="es-ES"/>
        </w:rPr>
        <w:t xml:space="preserve">Las documentaciones que no vengan adecuadamente preparadas o incompletas </w:t>
      </w:r>
      <w:r w:rsidRPr="001E7374">
        <w:rPr>
          <w:rFonts w:ascii="Tahoma" w:hAnsi="Tahoma" w:cs="Tahoma"/>
          <w:b/>
          <w:bCs/>
          <w:lang w:val="es-ES"/>
        </w:rPr>
        <w:t>NO</w:t>
      </w:r>
      <w:r w:rsidRPr="001E7374">
        <w:rPr>
          <w:rFonts w:ascii="Tahoma" w:hAnsi="Tahoma" w:cs="Tahoma"/>
          <w:bCs/>
          <w:lang w:val="es-ES"/>
        </w:rPr>
        <w:t xml:space="preserve"> serán admitidas</w:t>
      </w:r>
    </w:p>
    <w:p w14:paraId="1FA4BA33" w14:textId="77777777" w:rsidR="00FA1729" w:rsidRPr="001E7374" w:rsidRDefault="00FA1729" w:rsidP="009C094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lang w:val="es-ES"/>
        </w:rPr>
      </w:pPr>
    </w:p>
    <w:p w14:paraId="0D87EE21" w14:textId="77777777" w:rsidR="00FA1729" w:rsidRPr="001E7374" w:rsidRDefault="00FA1729" w:rsidP="009C0947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14:paraId="32C712EC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u w:val="single"/>
          <w:lang w:val="es-ES"/>
        </w:rPr>
      </w:pPr>
    </w:p>
    <w:p w14:paraId="1A2DC4A6" w14:textId="52A574C4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11.2.4. Enmiendas relevantes</w:t>
      </w:r>
    </w:p>
    <w:p w14:paraId="68DDD0C5" w14:textId="274AA823" w:rsidR="00C35F9B" w:rsidRPr="001E7374" w:rsidRDefault="00C35F9B" w:rsidP="00CA40B0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highlight w:val="yellow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Para la evaluación de las enmiendas relevantes de los ensayos clínicos con medicamentos en los que el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proofErr w:type="spellStart"/>
      <w:r w:rsidR="00BA6B34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BA6B34" w:rsidRPr="001E7374">
        <w:rPr>
          <w:rFonts w:ascii="Tahoma" w:eastAsiaTheme="minorHAnsi" w:hAnsi="Tahoma" w:cs="Tahoma"/>
          <w:lang w:val="es-ES"/>
        </w:rPr>
        <w:t xml:space="preserve"> de</w:t>
      </w:r>
      <w:r w:rsidR="00BA6B34">
        <w:rPr>
          <w:rFonts w:ascii="Tahoma" w:eastAsiaTheme="minorHAnsi" w:hAnsi="Tahoma" w:cs="Tahoma"/>
          <w:lang w:val="es-ES"/>
        </w:rPr>
        <w:t xml:space="preserve"> las Áreas de Salud de</w:t>
      </w:r>
      <w:r w:rsidR="00BA6B34" w:rsidRPr="001E7374">
        <w:rPr>
          <w:rFonts w:ascii="Tahoma" w:eastAsiaTheme="minorHAnsi" w:hAnsi="Tahoma" w:cs="Tahoma"/>
          <w:lang w:val="es-ES"/>
        </w:rPr>
        <w:t xml:space="preserve"> León</w:t>
      </w:r>
      <w:r w:rsidR="00BA6B34">
        <w:rPr>
          <w:rFonts w:ascii="Tahoma" w:eastAsiaTheme="minorHAnsi" w:hAnsi="Tahoma" w:cs="Tahoma"/>
          <w:lang w:val="es-ES"/>
        </w:rPr>
        <w:t xml:space="preserve"> y del Bierzo</w:t>
      </w:r>
      <w:r w:rsidRPr="001E7374">
        <w:rPr>
          <w:rFonts w:ascii="Tahoma" w:eastAsiaTheme="minorHAnsi" w:hAnsi="Tahoma" w:cs="Tahoma"/>
          <w:lang w:val="es-ES"/>
        </w:rPr>
        <w:t xml:space="preserve"> sea el comité evaluador el promotor deberá aportar, a través de la aplicación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correspondiente de la AEPMS, la documentación que se indica en el anexo I del “Documento de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instrucciones de la Agencia Española de Medicamentos y Productos Sanitarios para la realización de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ensayos clínicos en España”. Para facilitar la consulta, se adjunta dicho anexo en este PNT,</w:t>
      </w:r>
      <w:r w:rsidR="007C2A93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constituyendo el Anexo VI de los PNT.</w:t>
      </w:r>
    </w:p>
    <w:p w14:paraId="209F05D0" w14:textId="77777777" w:rsidR="00FA1729" w:rsidRPr="001E7374" w:rsidRDefault="00FA1729" w:rsidP="009C0947">
      <w:pPr>
        <w:spacing w:before="100" w:line="360" w:lineRule="auto"/>
        <w:ind w:right="108"/>
        <w:jc w:val="both"/>
        <w:rPr>
          <w:rFonts w:ascii="Tahoma" w:eastAsiaTheme="minorHAnsi" w:hAnsi="Tahoma" w:cs="Tahoma"/>
          <w:highlight w:val="yellow"/>
          <w:lang w:val="es-ES"/>
        </w:rPr>
      </w:pPr>
    </w:p>
    <w:p w14:paraId="0FAEB3CA" w14:textId="2DE4FE51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11.3. Utilización de la aplicación SIC</w:t>
      </w:r>
      <w:r w:rsidRPr="001E7374">
        <w:rPr>
          <w:rFonts w:ascii="Calibri" w:eastAsia="Calibri" w:hAnsi="Calibri" w:cs="Calibri"/>
          <w:b/>
          <w:bCs/>
          <w:lang w:val="es-ES"/>
        </w:rPr>
        <w:t>‐</w:t>
      </w:r>
      <w:r w:rsidRPr="001E7374">
        <w:rPr>
          <w:rFonts w:ascii="Tahoma" w:eastAsiaTheme="minorHAnsi" w:hAnsi="Tahoma" w:cs="Tahoma"/>
          <w:b/>
          <w:bCs/>
          <w:lang w:val="es-ES"/>
        </w:rPr>
        <w:t>CEI</w:t>
      </w:r>
      <w:r w:rsidR="00522D84">
        <w:rPr>
          <w:rFonts w:ascii="Tahoma" w:eastAsiaTheme="minorHAnsi" w:hAnsi="Tahoma" w:cs="Tahoma"/>
          <w:b/>
          <w:bCs/>
          <w:lang w:val="es-ES"/>
        </w:rPr>
        <w:t>C</w:t>
      </w:r>
    </w:p>
    <w:p w14:paraId="3C33FAD7" w14:textId="050D2AAB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La aplicación informática Sistema de Información y Comunicación entre </w:t>
      </w:r>
      <w:proofErr w:type="spellStart"/>
      <w:r w:rsidRPr="001E7374">
        <w:rPr>
          <w:rFonts w:ascii="Tahoma" w:eastAsiaTheme="minorHAnsi" w:hAnsi="Tahoma" w:cs="Tahoma"/>
          <w:lang w:val="es-ES"/>
        </w:rPr>
        <w:t>CEI</w:t>
      </w:r>
      <w:r w:rsidR="00522D84">
        <w:rPr>
          <w:rFonts w:ascii="Tahoma" w:eastAsiaTheme="minorHAnsi" w:hAnsi="Tahoma" w:cs="Tahoma"/>
          <w:lang w:val="es-ES"/>
        </w:rPr>
        <w:t>m</w:t>
      </w:r>
      <w:proofErr w:type="spellEnd"/>
      <w:r w:rsidRPr="001E7374">
        <w:rPr>
          <w:rFonts w:ascii="Tahoma" w:eastAsiaTheme="minorHAnsi" w:hAnsi="Tahoma" w:cs="Tahoma"/>
          <w:lang w:val="es-ES"/>
        </w:rPr>
        <w:t xml:space="preserve"> fue establecida por el Ministerio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de Sanidad para facilitar la coordinación entre los distintos comités que intervienen en la evaluación de un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 xml:space="preserve">ensayo clínico </w:t>
      </w:r>
      <w:proofErr w:type="spellStart"/>
      <w:r w:rsidRPr="001E7374">
        <w:rPr>
          <w:rFonts w:ascii="Tahoma" w:eastAsiaTheme="minorHAnsi" w:hAnsi="Tahoma" w:cs="Tahoma"/>
          <w:lang w:val="es-ES"/>
        </w:rPr>
        <w:t>multicéntrico</w:t>
      </w:r>
      <w:proofErr w:type="spellEnd"/>
      <w:r w:rsidRPr="001E7374">
        <w:rPr>
          <w:rFonts w:ascii="Tahoma" w:eastAsiaTheme="minorHAnsi" w:hAnsi="Tahoma" w:cs="Tahoma"/>
          <w:lang w:val="es-ES"/>
        </w:rPr>
        <w:t>.</w:t>
      </w:r>
    </w:p>
    <w:p w14:paraId="312AD543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En la actualidad, tras la entrada en vigor del RD 1090/2015, sobre ensayos clínicos con medicamentos, las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funcionalidades de esta aplicación han cambiado.</w:t>
      </w:r>
    </w:p>
    <w:p w14:paraId="534425EF" w14:textId="77777777" w:rsidR="00D95D5D" w:rsidRPr="001E7374" w:rsidRDefault="00D95D5D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highlight w:val="yellow"/>
          <w:lang w:val="es-ES"/>
        </w:rPr>
      </w:pPr>
    </w:p>
    <w:p w14:paraId="78701D4F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Actualmente, esta aplicación se utilizará para las siguientes actividades:</w:t>
      </w:r>
    </w:p>
    <w:p w14:paraId="00215797" w14:textId="7777777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11.3.1. Validación de la solicitud de evaluación de un nuevo ensayo clínico</w:t>
      </w:r>
    </w:p>
    <w:p w14:paraId="1A29E0F3" w14:textId="7777777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Tras la recepción y revisión de la documentación de la solicitud de evaluación de un nuevo ensayo</w:t>
      </w:r>
    </w:p>
    <w:p w14:paraId="53A77A62" w14:textId="5F89AD5E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lang w:val="es-ES"/>
        </w:rPr>
      </w:pPr>
      <w:proofErr w:type="gramStart"/>
      <w:r w:rsidRPr="001E7374">
        <w:rPr>
          <w:rFonts w:ascii="Tahoma" w:eastAsiaTheme="minorHAnsi" w:hAnsi="Tahoma" w:cs="Tahoma"/>
          <w:lang w:val="es-ES"/>
        </w:rPr>
        <w:t>clínico</w:t>
      </w:r>
      <w:proofErr w:type="gramEnd"/>
      <w:r w:rsidRPr="001E7374">
        <w:rPr>
          <w:rFonts w:ascii="Tahoma" w:eastAsiaTheme="minorHAnsi" w:hAnsi="Tahoma" w:cs="Tahoma"/>
          <w:lang w:val="es-ES"/>
        </w:rPr>
        <w:t xml:space="preserve"> a través de la aplicación de la AEMPS, en la Secretaría del </w:t>
      </w:r>
      <w:proofErr w:type="spellStart"/>
      <w:r w:rsidR="00AF003F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AF003F" w:rsidRPr="001E7374">
        <w:rPr>
          <w:rFonts w:ascii="Tahoma" w:eastAsiaTheme="minorHAnsi" w:hAnsi="Tahoma" w:cs="Tahoma"/>
          <w:lang w:val="es-ES"/>
        </w:rPr>
        <w:t xml:space="preserve"> de</w:t>
      </w:r>
      <w:r w:rsidR="00AF003F">
        <w:rPr>
          <w:rFonts w:ascii="Tahoma" w:eastAsiaTheme="minorHAnsi" w:hAnsi="Tahoma" w:cs="Tahoma"/>
          <w:lang w:val="es-ES"/>
        </w:rPr>
        <w:t xml:space="preserve"> las Áreas de Salud de</w:t>
      </w:r>
      <w:r w:rsidR="00AF003F" w:rsidRPr="001E7374">
        <w:rPr>
          <w:rFonts w:ascii="Tahoma" w:eastAsiaTheme="minorHAnsi" w:hAnsi="Tahoma" w:cs="Tahoma"/>
          <w:lang w:val="es-ES"/>
        </w:rPr>
        <w:t xml:space="preserve"> León</w:t>
      </w:r>
      <w:r w:rsidR="00AF003F">
        <w:rPr>
          <w:rFonts w:ascii="Tahoma" w:eastAsiaTheme="minorHAnsi" w:hAnsi="Tahoma" w:cs="Tahoma"/>
          <w:lang w:val="es-ES"/>
        </w:rPr>
        <w:t xml:space="preserve"> y del Bierzo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se procederá a la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validación de dicha solicitud, lo que generará un mensaje de correo electrónico dirigido al promotor y a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 xml:space="preserve">la AEMPS, informando de que la </w:t>
      </w:r>
      <w:r w:rsidRPr="001E7374">
        <w:rPr>
          <w:rFonts w:ascii="Tahoma" w:eastAsiaTheme="minorHAnsi" w:hAnsi="Tahoma" w:cs="Tahoma"/>
          <w:lang w:val="es-ES"/>
        </w:rPr>
        <w:lastRenderedPageBreak/>
        <w:t>solicitud de evaluación del ensayo ha sido validada. Por defecto, y si no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fuese necesario solicitar subsanaciones al promotor, la fecha de validación de la solicitud de evaluación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será la fecha en la que se realizó la solicitud. Dicha fecha quedará establecida por la AEMPS en un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 xml:space="preserve">calendario de validación que remitirá al promotor y al </w:t>
      </w:r>
      <w:proofErr w:type="spellStart"/>
      <w:r w:rsidRPr="001E7374">
        <w:rPr>
          <w:rFonts w:ascii="Tahoma" w:eastAsiaTheme="minorHAnsi" w:hAnsi="Tahoma" w:cs="Tahoma"/>
          <w:lang w:val="es-ES"/>
        </w:rPr>
        <w:t>CEI</w:t>
      </w:r>
      <w:r w:rsidR="00E15793">
        <w:rPr>
          <w:rFonts w:ascii="Tahoma" w:eastAsiaTheme="minorHAnsi" w:hAnsi="Tahoma" w:cs="Tahoma"/>
          <w:lang w:val="es-ES"/>
        </w:rPr>
        <w:t>m</w:t>
      </w:r>
      <w:proofErr w:type="spellEnd"/>
      <w:r w:rsidRPr="001E7374">
        <w:rPr>
          <w:rFonts w:ascii="Tahoma" w:eastAsiaTheme="minorHAnsi" w:hAnsi="Tahoma" w:cs="Tahoma"/>
          <w:lang w:val="es-ES"/>
        </w:rPr>
        <w:t>.</w:t>
      </w:r>
    </w:p>
    <w:p w14:paraId="5B0EDAF9" w14:textId="7777777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En caso de que, tras la revisión de la documentación, se considere que no se han aportado todos los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documentos necesarios para la evaluación, se solicitará al promotor que realice una subsanación. Para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ello se contactará con el promotor y con la AEMPS a través del correo electrónico indicando la</w:t>
      </w:r>
      <w:r w:rsidR="00CA40B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documentación que falta. De este modo el promotor quedará avisado de la necesidad de aportar dicha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documentación y la AEMPS modificará el calendario de validación del estudio estableciendo una nueva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fecha de validación cuando la documentación adicional haya sido aportada satisfactoriamente.</w:t>
      </w:r>
    </w:p>
    <w:p w14:paraId="63F3588C" w14:textId="7777777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11.3.2. Solicitud de aclaraciones al promotor</w:t>
      </w:r>
    </w:p>
    <w:p w14:paraId="0998E7C0" w14:textId="2F8F14D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Tras la reunión del comité en la que se evalúe el nuevo ensayo clínico se solicitarán al promotor las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aclaraciones pertinentes (ver PNT de Evaluación), utilizando la aplicación SIC</w:t>
      </w:r>
      <w:r w:rsidRPr="001E7374">
        <w:rPr>
          <w:rFonts w:ascii="Calibri" w:eastAsia="Calibri" w:hAnsi="Calibri" w:cs="Calibri"/>
          <w:lang w:val="es-ES"/>
        </w:rPr>
        <w:t>‐</w:t>
      </w:r>
      <w:r w:rsidRPr="001E7374">
        <w:rPr>
          <w:rFonts w:ascii="Tahoma" w:eastAsiaTheme="minorHAnsi" w:hAnsi="Tahoma" w:cs="Tahoma"/>
          <w:lang w:val="es-ES"/>
        </w:rPr>
        <w:t>CEI</w:t>
      </w:r>
      <w:r w:rsidR="00E15793">
        <w:rPr>
          <w:rFonts w:ascii="Tahoma" w:eastAsiaTheme="minorHAnsi" w:hAnsi="Tahoma" w:cs="Tahoma"/>
          <w:lang w:val="es-ES"/>
        </w:rPr>
        <w:t>C</w:t>
      </w:r>
      <w:r w:rsidRPr="001E7374">
        <w:rPr>
          <w:rFonts w:ascii="Tahoma" w:eastAsiaTheme="minorHAnsi" w:hAnsi="Tahoma" w:cs="Tahoma"/>
          <w:lang w:val="es-ES"/>
        </w:rPr>
        <w:t>. Al incluir las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aclaraciones en la aplicación se genera un correo electrónico que informa al promotor y a la AEMPS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sobre este hecho.</w:t>
      </w:r>
    </w:p>
    <w:p w14:paraId="49FF7203" w14:textId="7777777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11.3.3. Alta de la respuesta a las aclaraciones</w:t>
      </w:r>
    </w:p>
    <w:p w14:paraId="67C5BEF2" w14:textId="0EB587A9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El promotor responderá a las aclaraciones solicitadas por la AEMPS y por el </w:t>
      </w:r>
      <w:proofErr w:type="spellStart"/>
      <w:r w:rsidRPr="001E7374">
        <w:rPr>
          <w:rFonts w:ascii="Tahoma" w:eastAsiaTheme="minorHAnsi" w:hAnsi="Tahoma" w:cs="Tahoma"/>
          <w:lang w:val="es-ES"/>
        </w:rPr>
        <w:t>CEI</w:t>
      </w:r>
      <w:r w:rsidR="00E15793">
        <w:rPr>
          <w:rFonts w:ascii="Tahoma" w:eastAsiaTheme="minorHAnsi" w:hAnsi="Tahoma" w:cs="Tahoma"/>
          <w:lang w:val="es-ES"/>
        </w:rPr>
        <w:t>m</w:t>
      </w:r>
      <w:proofErr w:type="spellEnd"/>
      <w:r w:rsidRPr="001E7374">
        <w:rPr>
          <w:rFonts w:ascii="Tahoma" w:eastAsiaTheme="minorHAnsi" w:hAnsi="Tahoma" w:cs="Tahoma"/>
          <w:lang w:val="es-ES"/>
        </w:rPr>
        <w:t xml:space="preserve"> a través del Portal ECM</w:t>
      </w:r>
      <w:r w:rsidR="00D95D5D" w:rsidRPr="001E7374">
        <w:rPr>
          <w:rFonts w:ascii="Tahoma" w:eastAsiaTheme="minorHAnsi" w:hAnsi="Tahoma" w:cs="Tahoma"/>
          <w:lang w:val="es-ES"/>
        </w:rPr>
        <w:t xml:space="preserve">. Al </w:t>
      </w:r>
      <w:proofErr w:type="spellStart"/>
      <w:r w:rsidR="00D95D5D" w:rsidRPr="001E7374">
        <w:rPr>
          <w:rFonts w:ascii="Tahoma" w:eastAsiaTheme="minorHAnsi" w:hAnsi="Tahoma" w:cs="Tahoma"/>
          <w:lang w:val="es-ES"/>
        </w:rPr>
        <w:t>CEIm</w:t>
      </w:r>
      <w:proofErr w:type="spellEnd"/>
      <w:r w:rsidR="00D95D5D" w:rsidRPr="001E7374">
        <w:rPr>
          <w:rFonts w:ascii="Tahoma" w:eastAsiaTheme="minorHAnsi" w:hAnsi="Tahoma" w:cs="Tahoma"/>
          <w:lang w:val="es-ES"/>
        </w:rPr>
        <w:t xml:space="preserve"> deberá mandar</w:t>
      </w:r>
      <w:r w:rsidR="00990631" w:rsidRPr="001E7374">
        <w:rPr>
          <w:rFonts w:ascii="Tahoma" w:eastAsiaTheme="minorHAnsi" w:hAnsi="Tahoma" w:cs="Tahoma"/>
          <w:lang w:val="es-ES"/>
        </w:rPr>
        <w:t xml:space="preserve"> copia de </w:t>
      </w:r>
      <w:r w:rsidR="00F1767F">
        <w:rPr>
          <w:rFonts w:ascii="Tahoma" w:eastAsiaTheme="minorHAnsi" w:hAnsi="Tahoma" w:cs="Tahoma"/>
          <w:lang w:val="es-ES"/>
        </w:rPr>
        <w:t>la comunicación por correo electrónico</w:t>
      </w:r>
      <w:r w:rsidR="00D95D5D" w:rsidRPr="001E7374">
        <w:rPr>
          <w:rFonts w:ascii="Tahoma" w:eastAsiaTheme="minorHAnsi" w:hAnsi="Tahoma" w:cs="Tahoma"/>
          <w:lang w:val="es-ES"/>
        </w:rPr>
        <w:t>.</w:t>
      </w:r>
    </w:p>
    <w:p w14:paraId="283B2C4C" w14:textId="7777777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11.3.4. Emisión de dictamen final</w:t>
      </w:r>
    </w:p>
    <w:p w14:paraId="011F260C" w14:textId="680B9E8F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Tras la reunión del comité en que se valoren las respuestas del promotor a las aclaraciones solicitadas y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una vez decidido si se emite un informe favorable o desfavorable, esta decisión se incluirá en la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aplicación SIC</w:t>
      </w:r>
      <w:r w:rsidRPr="001E7374">
        <w:rPr>
          <w:rFonts w:ascii="Calibri" w:eastAsia="Calibri" w:hAnsi="Calibri" w:cs="Calibri"/>
          <w:lang w:val="es-ES"/>
        </w:rPr>
        <w:t>‐</w:t>
      </w:r>
      <w:r w:rsidRPr="001E7374">
        <w:rPr>
          <w:rFonts w:ascii="Tahoma" w:eastAsiaTheme="minorHAnsi" w:hAnsi="Tahoma" w:cs="Tahoma"/>
          <w:lang w:val="es-ES"/>
        </w:rPr>
        <w:t>CEI</w:t>
      </w:r>
      <w:r w:rsidR="00E15793">
        <w:rPr>
          <w:rFonts w:ascii="Tahoma" w:eastAsiaTheme="minorHAnsi" w:hAnsi="Tahoma" w:cs="Tahoma"/>
          <w:lang w:val="es-ES"/>
        </w:rPr>
        <w:t>C</w:t>
      </w:r>
      <w:r w:rsidRPr="001E7374">
        <w:rPr>
          <w:rFonts w:ascii="Tahoma" w:eastAsiaTheme="minorHAnsi" w:hAnsi="Tahoma" w:cs="Tahoma"/>
          <w:lang w:val="es-ES"/>
        </w:rPr>
        <w:t>.</w:t>
      </w:r>
    </w:p>
    <w:p w14:paraId="230343F2" w14:textId="77777777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u w:val="single"/>
          <w:lang w:val="es-ES"/>
        </w:rPr>
      </w:pPr>
      <w:r w:rsidRPr="001E7374">
        <w:rPr>
          <w:rFonts w:ascii="Tahoma" w:eastAsiaTheme="minorHAnsi" w:hAnsi="Tahoma" w:cs="Tahoma"/>
          <w:u w:val="single"/>
          <w:lang w:val="es-ES"/>
        </w:rPr>
        <w:t>11.3.5. Evaluación de enmiendas relevantes</w:t>
      </w:r>
    </w:p>
    <w:p w14:paraId="4F526D7C" w14:textId="19F2BE69" w:rsidR="00C35F9B" w:rsidRPr="001E7374" w:rsidRDefault="00C35F9B" w:rsidP="00D95D5D">
      <w:pPr>
        <w:widowControl/>
        <w:adjustRightInd w:val="0"/>
        <w:spacing w:line="360" w:lineRule="auto"/>
        <w:ind w:left="567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En el caso de enmiendas relevantes de ensayos clínicos con medicamentos se procederá de manera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similar en lo referente a la validación, y a la emisión del dictamen final. En caso de que fuera necesario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solicitar aclaraciones al promotor, éstas no se cargarán en la aplicación SIC</w:t>
      </w:r>
      <w:r w:rsidRPr="001E7374">
        <w:rPr>
          <w:rFonts w:ascii="Calibri" w:eastAsia="Calibri" w:hAnsi="Calibri" w:cs="Calibri"/>
          <w:lang w:val="es-ES"/>
        </w:rPr>
        <w:t>‐</w:t>
      </w:r>
      <w:r w:rsidRPr="001E7374">
        <w:rPr>
          <w:rFonts w:ascii="Tahoma" w:eastAsiaTheme="minorHAnsi" w:hAnsi="Tahoma" w:cs="Tahoma"/>
          <w:lang w:val="es-ES"/>
        </w:rPr>
        <w:t>CEI</w:t>
      </w:r>
      <w:r w:rsidR="00E15793">
        <w:rPr>
          <w:rFonts w:ascii="Tahoma" w:eastAsiaTheme="minorHAnsi" w:hAnsi="Tahoma" w:cs="Tahoma"/>
          <w:lang w:val="es-ES"/>
        </w:rPr>
        <w:t>C</w:t>
      </w:r>
      <w:r w:rsidRPr="001E7374">
        <w:rPr>
          <w:rFonts w:ascii="Tahoma" w:eastAsiaTheme="minorHAnsi" w:hAnsi="Tahoma" w:cs="Tahoma"/>
          <w:lang w:val="es-ES"/>
        </w:rPr>
        <w:t xml:space="preserve"> sino que se solicitarán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por correo electrónico, con copia para el promotor y para la AEMPS, y el promotor las responderá por la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 xml:space="preserve">misma vía, con copia para la AEMPS y para el </w:t>
      </w:r>
      <w:proofErr w:type="spellStart"/>
      <w:r w:rsidRPr="001E7374">
        <w:rPr>
          <w:rFonts w:ascii="Tahoma" w:eastAsiaTheme="minorHAnsi" w:hAnsi="Tahoma" w:cs="Tahoma"/>
          <w:lang w:val="es-ES"/>
        </w:rPr>
        <w:t>CEI</w:t>
      </w:r>
      <w:r w:rsidR="00E15793">
        <w:rPr>
          <w:rFonts w:ascii="Tahoma" w:eastAsiaTheme="minorHAnsi" w:hAnsi="Tahoma" w:cs="Tahoma"/>
          <w:lang w:val="es-ES"/>
        </w:rPr>
        <w:t>m</w:t>
      </w:r>
      <w:proofErr w:type="spellEnd"/>
      <w:r w:rsidRPr="001E7374">
        <w:rPr>
          <w:rFonts w:ascii="Tahoma" w:eastAsiaTheme="minorHAnsi" w:hAnsi="Tahoma" w:cs="Tahoma"/>
          <w:lang w:val="es-ES"/>
        </w:rPr>
        <w:t>.</w:t>
      </w:r>
    </w:p>
    <w:p w14:paraId="283F19D5" w14:textId="77777777" w:rsidR="00BB2BD2" w:rsidRPr="001E7374" w:rsidRDefault="00BB2BD2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highlight w:val="yellow"/>
          <w:lang w:val="es-ES"/>
        </w:rPr>
      </w:pPr>
    </w:p>
    <w:p w14:paraId="22CC57B4" w14:textId="77777777" w:rsidR="00F1767F" w:rsidRDefault="00F1767F">
      <w:pPr>
        <w:autoSpaceDE/>
        <w:autoSpaceDN/>
        <w:rPr>
          <w:rFonts w:ascii="Tahoma" w:eastAsiaTheme="minorHAnsi" w:hAnsi="Tahoma" w:cs="Tahoma"/>
          <w:b/>
          <w:bCs/>
          <w:lang w:val="es-ES"/>
        </w:rPr>
      </w:pPr>
      <w:r>
        <w:rPr>
          <w:rFonts w:ascii="Tahoma" w:eastAsiaTheme="minorHAnsi" w:hAnsi="Tahoma" w:cs="Tahoma"/>
          <w:b/>
          <w:bCs/>
          <w:lang w:val="es-ES"/>
        </w:rPr>
        <w:br w:type="page"/>
      </w:r>
    </w:p>
    <w:p w14:paraId="17CED234" w14:textId="1862D684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lastRenderedPageBreak/>
        <w:t>11.4. Procedimiento en estudios observacionales y otro tipo de estudios</w:t>
      </w:r>
    </w:p>
    <w:p w14:paraId="7462D5DA" w14:textId="07038D17" w:rsidR="00BB2BD2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Dado que la aplicación SIC</w:t>
      </w:r>
      <w:r w:rsidRPr="001E7374">
        <w:rPr>
          <w:rFonts w:ascii="Calibri" w:eastAsia="Calibri" w:hAnsi="Calibri" w:cs="Calibri"/>
          <w:lang w:val="es-ES"/>
        </w:rPr>
        <w:t>‐</w:t>
      </w:r>
      <w:r w:rsidRPr="001E7374">
        <w:rPr>
          <w:rFonts w:ascii="Tahoma" w:eastAsiaTheme="minorHAnsi" w:hAnsi="Tahoma" w:cs="Tahoma"/>
          <w:lang w:val="es-ES"/>
        </w:rPr>
        <w:t>CEI</w:t>
      </w:r>
      <w:r w:rsidR="00E15793">
        <w:rPr>
          <w:rFonts w:ascii="Tahoma" w:eastAsiaTheme="minorHAnsi" w:hAnsi="Tahoma" w:cs="Tahoma"/>
          <w:lang w:val="es-ES"/>
        </w:rPr>
        <w:t>C</w:t>
      </w:r>
      <w:r w:rsidRPr="001E7374">
        <w:rPr>
          <w:rFonts w:ascii="Tahoma" w:eastAsiaTheme="minorHAnsi" w:hAnsi="Tahoma" w:cs="Tahoma"/>
          <w:lang w:val="es-ES"/>
        </w:rPr>
        <w:t xml:space="preserve"> sólo está diseñada para su uso en ensayos clínicos con medicamentos, en los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demás estudios se utilizará la vía telemática para los procedimientos de solicitud de aclaraciones y para la</w:t>
      </w:r>
      <w:r w:rsidR="00BB2BD2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emisión de dictámenes.</w:t>
      </w:r>
    </w:p>
    <w:p w14:paraId="0EB2F88C" w14:textId="77777777" w:rsidR="00095520" w:rsidRPr="001E7374" w:rsidRDefault="00095520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highlight w:val="yellow"/>
          <w:lang w:val="es-ES"/>
        </w:rPr>
      </w:pPr>
    </w:p>
    <w:p w14:paraId="02F5B927" w14:textId="79059338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11.</w:t>
      </w:r>
      <w:r w:rsidR="00126378">
        <w:rPr>
          <w:rFonts w:ascii="Tahoma" w:eastAsiaTheme="minorHAnsi" w:hAnsi="Tahoma" w:cs="Tahoma"/>
          <w:b/>
          <w:bCs/>
          <w:lang w:val="es-ES"/>
        </w:rPr>
        <w:t>5</w:t>
      </w:r>
      <w:r w:rsidRPr="001E7374">
        <w:rPr>
          <w:rFonts w:ascii="Tahoma" w:eastAsiaTheme="minorHAnsi" w:hAnsi="Tahoma" w:cs="Tahoma"/>
          <w:b/>
          <w:bCs/>
          <w:lang w:val="es-ES"/>
        </w:rPr>
        <w:t>. Plazos de evaluación y respuesta</w:t>
      </w:r>
    </w:p>
    <w:p w14:paraId="27CCB9AD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En el caso de la evaluación de ensayos clínicos con medicamentos los plazos serán los establecidos en el</w:t>
      </w:r>
      <w:r w:rsidR="0009552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“Memorando de Colaboración e Intercambio de Información entre la Agencia Española de Medicamentos y</w:t>
      </w:r>
      <w:r w:rsidR="0009552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Productos Sanitarios y los Comités de Ética de la Investigación con medicamentos” y mostrados en el Anexo VII</w:t>
      </w:r>
      <w:r w:rsidR="0009552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del presente documento. Por otro lado, la AEMPS emite el denominado “Documento de Validación” en el que</w:t>
      </w:r>
      <w:r w:rsidR="0009552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establece un calendario con los plazos de tramitación del correspondiente estudio (ver Anexo VII con un</w:t>
      </w:r>
      <w:r w:rsidR="00095520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modelo del documento citado).</w:t>
      </w:r>
    </w:p>
    <w:p w14:paraId="73FBF7A4" w14:textId="77777777" w:rsidR="00C35F9B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En estudios observacionales el plazo máximo desde la admisión de la documentación hasta la emisión del</w:t>
      </w:r>
      <w:r w:rsidR="00047E54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dictamen será de 60 días. En estos 60 días no se contabilizará el periodo de tiempo utilizado por el promotor</w:t>
      </w:r>
      <w:r w:rsidR="00047E54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para responder a las aclaraciones solicitadas.</w:t>
      </w:r>
    </w:p>
    <w:p w14:paraId="66CEB18A" w14:textId="77777777" w:rsidR="00F1767F" w:rsidRPr="001E7374" w:rsidRDefault="00F1767F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24583E99" w14:textId="6B64F11C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11.</w:t>
      </w:r>
      <w:r w:rsidR="00126378">
        <w:rPr>
          <w:rFonts w:ascii="Tahoma" w:eastAsiaTheme="minorHAnsi" w:hAnsi="Tahoma" w:cs="Tahoma"/>
          <w:b/>
          <w:bCs/>
          <w:lang w:val="es-ES"/>
        </w:rPr>
        <w:t>6</w:t>
      </w:r>
      <w:r w:rsidRPr="001E7374">
        <w:rPr>
          <w:rFonts w:ascii="Tahoma" w:eastAsiaTheme="minorHAnsi" w:hAnsi="Tahoma" w:cs="Tahoma"/>
          <w:b/>
          <w:bCs/>
          <w:lang w:val="es-ES"/>
        </w:rPr>
        <w:t>. Emisión de dictámenes definitivos</w:t>
      </w:r>
    </w:p>
    <w:p w14:paraId="68663C56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La emisión de los dictámenes definitivos se realizará según los modelos que se presentan en el Anexo VIII a</w:t>
      </w:r>
      <w:r w:rsidR="00047E54" w:rsidRPr="001E7374">
        <w:rPr>
          <w:rFonts w:ascii="Tahoma" w:eastAsiaTheme="minorHAnsi" w:hAnsi="Tahoma" w:cs="Tahoma"/>
          <w:lang w:val="es-ES"/>
        </w:rPr>
        <w:t xml:space="preserve"> </w:t>
      </w:r>
      <w:r w:rsidRPr="001E7374">
        <w:rPr>
          <w:rFonts w:ascii="Tahoma" w:eastAsiaTheme="minorHAnsi" w:hAnsi="Tahoma" w:cs="Tahoma"/>
          <w:lang w:val="es-ES"/>
        </w:rPr>
        <w:t>este PNT.</w:t>
      </w:r>
    </w:p>
    <w:p w14:paraId="35259765" w14:textId="77777777" w:rsidR="00DB0B56" w:rsidRDefault="00DB0B56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highlight w:val="yellow"/>
          <w:lang w:val="es-ES"/>
        </w:rPr>
      </w:pPr>
    </w:p>
    <w:p w14:paraId="227DF4D2" w14:textId="77777777" w:rsidR="00F1767F" w:rsidRDefault="00F1767F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highlight w:val="yellow"/>
          <w:lang w:val="es-ES"/>
        </w:rPr>
      </w:pPr>
    </w:p>
    <w:p w14:paraId="5525CF2A" w14:textId="77777777" w:rsidR="00F1767F" w:rsidRPr="001E7374" w:rsidRDefault="00F1767F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highlight w:val="yellow"/>
          <w:lang w:val="es-ES"/>
        </w:rPr>
      </w:pPr>
    </w:p>
    <w:p w14:paraId="7E2DC399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lang w:val="es-ES"/>
        </w:rPr>
      </w:pPr>
      <w:r w:rsidRPr="001E7374">
        <w:rPr>
          <w:rFonts w:ascii="Tahoma" w:eastAsiaTheme="minorHAnsi" w:hAnsi="Tahoma" w:cs="Tahoma"/>
          <w:b/>
          <w:bCs/>
          <w:lang w:val="es-ES"/>
        </w:rPr>
        <w:t>RESPONSABILIDADES DE APLICACIÓN DEL PNT</w:t>
      </w:r>
    </w:p>
    <w:p w14:paraId="3CB5B07B" w14:textId="67921EFC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 xml:space="preserve">La responsabilidad de aplicación de este PNT recae sobre todos los componentes del </w:t>
      </w:r>
      <w:proofErr w:type="spellStart"/>
      <w:r w:rsidRPr="001E7374">
        <w:rPr>
          <w:rFonts w:ascii="Tahoma" w:eastAsiaTheme="minorHAnsi" w:hAnsi="Tahoma" w:cs="Tahoma"/>
          <w:lang w:val="es-ES"/>
        </w:rPr>
        <w:t>CEI</w:t>
      </w:r>
      <w:r w:rsidR="005B3587">
        <w:rPr>
          <w:rFonts w:ascii="Tahoma" w:eastAsiaTheme="minorHAnsi" w:hAnsi="Tahoma" w:cs="Tahoma"/>
          <w:lang w:val="es-ES"/>
        </w:rPr>
        <w:t>m</w:t>
      </w:r>
      <w:proofErr w:type="spellEnd"/>
      <w:r w:rsidRPr="001E7374">
        <w:rPr>
          <w:rFonts w:ascii="Tahoma" w:eastAsiaTheme="minorHAnsi" w:hAnsi="Tahoma" w:cs="Tahoma"/>
          <w:lang w:val="es-ES"/>
        </w:rPr>
        <w:t>, en especial:</w:t>
      </w:r>
    </w:p>
    <w:p w14:paraId="214027BE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Corresponde al Presidente del comité</w:t>
      </w:r>
    </w:p>
    <w:p w14:paraId="35415B52" w14:textId="138AD819" w:rsidR="00C35F9B" w:rsidRPr="00F1767F" w:rsidRDefault="00C35F9B" w:rsidP="00F1767F">
      <w:pPr>
        <w:pStyle w:val="Prrafodelista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="Tahoma" w:hAnsi="Tahoma" w:cs="Tahoma"/>
          <w:lang w:val="es-ES"/>
        </w:rPr>
      </w:pPr>
      <w:r w:rsidRPr="00F1767F">
        <w:rPr>
          <w:rFonts w:ascii="Tahoma" w:hAnsi="Tahoma" w:cs="Tahoma"/>
          <w:lang w:val="es-ES"/>
        </w:rPr>
        <w:t>Velar por el cumplimiento de los plazos establecidos y asegurar que el promotor y las autoridades</w:t>
      </w:r>
      <w:r w:rsidR="00DB0B56" w:rsidRPr="00F1767F">
        <w:rPr>
          <w:rFonts w:ascii="Tahoma" w:hAnsi="Tahoma" w:cs="Tahoma"/>
          <w:lang w:val="es-ES"/>
        </w:rPr>
        <w:t xml:space="preserve"> </w:t>
      </w:r>
      <w:r w:rsidRPr="00F1767F">
        <w:rPr>
          <w:rFonts w:ascii="Tahoma" w:hAnsi="Tahoma" w:cs="Tahoma"/>
          <w:lang w:val="es-ES"/>
        </w:rPr>
        <w:t>sanitarias son informados de cada uno de los pasos citados.</w:t>
      </w:r>
    </w:p>
    <w:p w14:paraId="27593494" w14:textId="77777777" w:rsidR="009E5B2B" w:rsidRPr="001E7374" w:rsidRDefault="009E5B2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2442D8CD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t>Corresponde al Secretario del comité y a las personas en las que éste delegue:</w:t>
      </w:r>
    </w:p>
    <w:p w14:paraId="3383EB71" w14:textId="0C82B3A3" w:rsidR="00C35F9B" w:rsidRPr="00F1767F" w:rsidRDefault="00C35F9B" w:rsidP="00F1767F">
      <w:pPr>
        <w:pStyle w:val="Prrafodelista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="Tahoma" w:hAnsi="Tahoma" w:cs="Tahoma"/>
          <w:lang w:val="es-ES"/>
        </w:rPr>
      </w:pPr>
      <w:r w:rsidRPr="00F1767F">
        <w:rPr>
          <w:rFonts w:ascii="Tahoma" w:hAnsi="Tahoma" w:cs="Tahoma"/>
          <w:lang w:val="es-ES"/>
        </w:rPr>
        <w:t>Recibir y validar la documentación aportada por el promotor.</w:t>
      </w:r>
    </w:p>
    <w:p w14:paraId="66EC2604" w14:textId="18694810" w:rsidR="00C35F9B" w:rsidRPr="00F1767F" w:rsidRDefault="00C35F9B" w:rsidP="00F1767F">
      <w:pPr>
        <w:pStyle w:val="Prrafodelista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="Tahoma" w:hAnsi="Tahoma" w:cs="Tahoma"/>
          <w:lang w:val="es-ES"/>
        </w:rPr>
      </w:pPr>
      <w:r w:rsidRPr="00F1767F">
        <w:rPr>
          <w:rFonts w:ascii="Tahoma" w:hAnsi="Tahoma" w:cs="Tahoma"/>
          <w:lang w:val="es-ES"/>
        </w:rPr>
        <w:t>Emplear la aplicación SIC</w:t>
      </w:r>
      <w:r w:rsidRPr="00F1767F">
        <w:rPr>
          <w:rFonts w:ascii="Calibri" w:eastAsia="Calibri" w:hAnsi="Calibri" w:cs="Calibri"/>
          <w:lang w:val="es-ES"/>
        </w:rPr>
        <w:t>‐</w:t>
      </w:r>
      <w:r w:rsidRPr="00F1767F">
        <w:rPr>
          <w:rFonts w:ascii="Tahoma" w:hAnsi="Tahoma" w:cs="Tahoma"/>
          <w:lang w:val="es-ES"/>
        </w:rPr>
        <w:t>CEI</w:t>
      </w:r>
      <w:r w:rsidR="005B3587">
        <w:rPr>
          <w:rFonts w:ascii="Tahoma" w:hAnsi="Tahoma" w:cs="Tahoma"/>
          <w:lang w:val="es-ES"/>
        </w:rPr>
        <w:t>C</w:t>
      </w:r>
      <w:r w:rsidRPr="00F1767F">
        <w:rPr>
          <w:rFonts w:ascii="Tahoma" w:hAnsi="Tahoma" w:cs="Tahoma"/>
          <w:lang w:val="es-ES"/>
        </w:rPr>
        <w:t xml:space="preserve"> con los objetivos establecidos.</w:t>
      </w:r>
    </w:p>
    <w:p w14:paraId="0C7B4ABD" w14:textId="1150B609" w:rsidR="00C35F9B" w:rsidRPr="00F1767F" w:rsidRDefault="00C35F9B" w:rsidP="00F1767F">
      <w:pPr>
        <w:pStyle w:val="Prrafodelista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="Tahoma" w:hAnsi="Tahoma" w:cs="Tahoma"/>
          <w:lang w:val="es-ES"/>
        </w:rPr>
      </w:pPr>
      <w:r w:rsidRPr="00F1767F">
        <w:rPr>
          <w:rFonts w:ascii="Tahoma" w:hAnsi="Tahoma" w:cs="Tahoma"/>
          <w:lang w:val="es-ES"/>
        </w:rPr>
        <w:t>Notificar al promotor y a las autoridades sanitarias las decisiones del comité.</w:t>
      </w:r>
    </w:p>
    <w:p w14:paraId="70EEDB9F" w14:textId="77777777" w:rsidR="009E5B2B" w:rsidRPr="001E7374" w:rsidRDefault="009E5B2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</w:p>
    <w:p w14:paraId="166C4DFD" w14:textId="77777777" w:rsidR="00C35F9B" w:rsidRPr="001E7374" w:rsidRDefault="00C35F9B" w:rsidP="009C0947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lang w:val="es-ES"/>
        </w:rPr>
      </w:pPr>
      <w:r w:rsidRPr="001E7374">
        <w:rPr>
          <w:rFonts w:ascii="Tahoma" w:eastAsiaTheme="minorHAnsi" w:hAnsi="Tahoma" w:cs="Tahoma"/>
          <w:lang w:val="es-ES"/>
        </w:rPr>
        <w:lastRenderedPageBreak/>
        <w:t>Corresponde a todos los componentes del comité:</w:t>
      </w:r>
    </w:p>
    <w:p w14:paraId="53F893B0" w14:textId="24924DDC" w:rsidR="00C35F9B" w:rsidRPr="00F1767F" w:rsidRDefault="00C35F9B" w:rsidP="00F1767F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jc w:val="both"/>
        <w:rPr>
          <w:rFonts w:ascii="Tahoma" w:hAnsi="Tahoma" w:cs="Tahoma"/>
          <w:lang w:val="es-ES"/>
        </w:rPr>
      </w:pPr>
      <w:r w:rsidRPr="00F1767F">
        <w:rPr>
          <w:rFonts w:ascii="Tahoma" w:hAnsi="Tahoma" w:cs="Tahoma"/>
          <w:lang w:val="es-ES"/>
        </w:rPr>
        <w:t>Colaborar para que las relaciones del comité con los promotores de la investigación, los investigadores</w:t>
      </w:r>
      <w:r w:rsidR="00DB0B56" w:rsidRPr="00F1767F">
        <w:rPr>
          <w:rFonts w:ascii="Tahoma" w:hAnsi="Tahoma" w:cs="Tahoma"/>
          <w:lang w:val="es-ES"/>
        </w:rPr>
        <w:t xml:space="preserve"> </w:t>
      </w:r>
      <w:r w:rsidRPr="00F1767F">
        <w:rPr>
          <w:rFonts w:ascii="Tahoma" w:hAnsi="Tahoma" w:cs="Tahoma"/>
          <w:lang w:val="es-ES"/>
        </w:rPr>
        <w:t>y las autoridades sanitarias puedan ser fluidas.</w:t>
      </w:r>
    </w:p>
    <w:p w14:paraId="0246AA4C" w14:textId="04000D30" w:rsidR="00C35F9B" w:rsidRPr="00F1767F" w:rsidRDefault="00C35F9B" w:rsidP="00F1767F">
      <w:pPr>
        <w:pStyle w:val="Prrafodelista"/>
        <w:numPr>
          <w:ilvl w:val="0"/>
          <w:numId w:val="16"/>
        </w:numPr>
        <w:spacing w:before="100" w:line="360" w:lineRule="auto"/>
        <w:ind w:right="108"/>
        <w:jc w:val="both"/>
        <w:rPr>
          <w:rFonts w:ascii="Tahoma" w:hAnsi="Tahoma" w:cs="Tahoma"/>
          <w:lang w:val="es-ES"/>
        </w:rPr>
      </w:pPr>
      <w:r w:rsidRPr="00F1767F">
        <w:rPr>
          <w:rFonts w:ascii="Tahoma" w:hAnsi="Tahoma" w:cs="Tahoma"/>
          <w:lang w:val="es-ES"/>
        </w:rPr>
        <w:t>Facilitar el cumplimiento de los plazos.</w:t>
      </w:r>
    </w:p>
    <w:sectPr w:rsidR="00C35F9B" w:rsidRPr="00F1767F" w:rsidSect="00683F87">
      <w:headerReference w:type="default" r:id="rId13"/>
      <w:footerReference w:type="even" r:id="rId14"/>
      <w:footerReference w:type="default" r:id="rId15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4FC89" w14:textId="77777777" w:rsidR="0060421A" w:rsidRDefault="0060421A">
      <w:r>
        <w:separator/>
      </w:r>
    </w:p>
  </w:endnote>
  <w:endnote w:type="continuationSeparator" w:id="0">
    <w:p w14:paraId="7F74050F" w14:textId="77777777" w:rsidR="0060421A" w:rsidRDefault="006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3611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120810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FE1C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D66D2D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5C0F5AA0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524D34FA" wp14:editId="76F63794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F2405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5EBF2405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70BF8" w14:textId="77777777" w:rsidR="0060421A" w:rsidRDefault="0060421A">
      <w:r>
        <w:separator/>
      </w:r>
    </w:p>
  </w:footnote>
  <w:footnote w:type="continuationSeparator" w:id="0">
    <w:p w14:paraId="542A9EC4" w14:textId="77777777" w:rsidR="0060421A" w:rsidRDefault="00604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46304D5C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4ADDAC66" w14:textId="77777777" w:rsidR="000F7CBD" w:rsidRDefault="000F7CBD" w:rsidP="000F7CBD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41CF3276" w14:textId="352BA437" w:rsidR="00FD1C2B" w:rsidRPr="006A1BF4" w:rsidRDefault="000F7CBD" w:rsidP="000F7CBD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44CFA7EB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6D69B983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0BFEB9F3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8497C6B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46149119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1E0F3B49" w14:textId="77777777" w:rsidR="00FD1C2B" w:rsidRPr="00732413" w:rsidRDefault="009E470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Procedimientos administrativos del </w:t>
          </w:r>
          <w:proofErr w:type="spellStart"/>
          <w:r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496212C5" w14:textId="77777777" w:rsidR="00FD1C2B" w:rsidRPr="00340CCF" w:rsidRDefault="00FD1C2B" w:rsidP="00AC17ED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9E4701">
            <w:rPr>
              <w:rFonts w:ascii="Tahoma" w:hAnsi="Tahoma" w:cs="Tahoma"/>
              <w:sz w:val="18"/>
              <w:szCs w:val="18"/>
              <w:lang w:val="es-ES"/>
            </w:rPr>
            <w:t>011</w:t>
          </w:r>
        </w:p>
      </w:tc>
      <w:tc>
        <w:tcPr>
          <w:tcW w:w="906" w:type="dxa"/>
          <w:gridSpan w:val="2"/>
          <w:vAlign w:val="center"/>
        </w:tcPr>
        <w:p w14:paraId="5276F2B2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28B31769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7636E1F8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3287E3C7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223A065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2712D2B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1829668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07502D6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29EA9DC3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6AD8D260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7995DB40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05092ABA" w14:textId="77777777" w:rsidR="00FD1C2B" w:rsidRPr="006A1BF4" w:rsidRDefault="009E4701" w:rsidP="00AC17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M.</w:t>
          </w:r>
          <w:r w:rsidR="005E5F48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Noguerol Cal</w:t>
          </w:r>
        </w:p>
      </w:tc>
      <w:tc>
        <w:tcPr>
          <w:tcW w:w="1418" w:type="dxa"/>
          <w:vAlign w:val="center"/>
        </w:tcPr>
        <w:p w14:paraId="4BB8DA71" w14:textId="43B95814" w:rsidR="00FD1C2B" w:rsidRPr="006A1BF4" w:rsidRDefault="001E7374" w:rsidP="0056134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561345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0DA0F5B9" w14:textId="77777777" w:rsidR="00FD1C2B" w:rsidRPr="006A1BF4" w:rsidRDefault="009E470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13/12/2017</w:t>
          </w:r>
        </w:p>
      </w:tc>
      <w:tc>
        <w:tcPr>
          <w:tcW w:w="1276" w:type="dxa"/>
          <w:gridSpan w:val="2"/>
          <w:vAlign w:val="center"/>
        </w:tcPr>
        <w:p w14:paraId="72FF776C" w14:textId="001C9B91" w:rsidR="00FD1C2B" w:rsidRPr="006A1BF4" w:rsidRDefault="00D66D2D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9344E3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4D95536F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4AEA40F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66D2D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66D2D">
            <w:rPr>
              <w:rStyle w:val="Nmerodepgina"/>
              <w:rFonts w:ascii="Tahoma" w:hAnsi="Tahoma" w:cs="Tahoma"/>
              <w:noProof/>
              <w:sz w:val="18"/>
              <w:szCs w:val="18"/>
            </w:rPr>
            <w:t>8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B0BA1B1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8965DDA"/>
    <w:multiLevelType w:val="hybridMultilevel"/>
    <w:tmpl w:val="518E22A6"/>
    <w:lvl w:ilvl="0" w:tplc="A11634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4">
    <w:nsid w:val="2818648E"/>
    <w:multiLevelType w:val="hybridMultilevel"/>
    <w:tmpl w:val="BDB2C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6">
    <w:nsid w:val="35FD6DFD"/>
    <w:multiLevelType w:val="multilevel"/>
    <w:tmpl w:val="C3867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345EC"/>
    <w:multiLevelType w:val="hybridMultilevel"/>
    <w:tmpl w:val="A120C7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6554C"/>
    <w:multiLevelType w:val="hybridMultilevel"/>
    <w:tmpl w:val="2110E5B8"/>
    <w:lvl w:ilvl="0" w:tplc="A116343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7CD6"/>
    <w:multiLevelType w:val="hybridMultilevel"/>
    <w:tmpl w:val="D0DC27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909FF"/>
    <w:multiLevelType w:val="hybridMultilevel"/>
    <w:tmpl w:val="B5889B2A"/>
    <w:lvl w:ilvl="0" w:tplc="42728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933BC"/>
    <w:multiLevelType w:val="hybridMultilevel"/>
    <w:tmpl w:val="01A21634"/>
    <w:lvl w:ilvl="0" w:tplc="4BF6A93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14E3"/>
    <w:multiLevelType w:val="multilevel"/>
    <w:tmpl w:val="EB4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4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EC"/>
    <w:rsid w:val="00004A52"/>
    <w:rsid w:val="000071A5"/>
    <w:rsid w:val="000075AA"/>
    <w:rsid w:val="00046E7F"/>
    <w:rsid w:val="00047E54"/>
    <w:rsid w:val="00095520"/>
    <w:rsid w:val="000D4E72"/>
    <w:rsid w:val="000E3D94"/>
    <w:rsid w:val="000F7CBD"/>
    <w:rsid w:val="001106E9"/>
    <w:rsid w:val="00126378"/>
    <w:rsid w:val="00161A6F"/>
    <w:rsid w:val="00167CC9"/>
    <w:rsid w:val="00175146"/>
    <w:rsid w:val="00177537"/>
    <w:rsid w:val="001C2391"/>
    <w:rsid w:val="001C3F28"/>
    <w:rsid w:val="001D33E5"/>
    <w:rsid w:val="001E7374"/>
    <w:rsid w:val="001F4BDA"/>
    <w:rsid w:val="00202196"/>
    <w:rsid w:val="00206E11"/>
    <w:rsid w:val="002C057B"/>
    <w:rsid w:val="00314220"/>
    <w:rsid w:val="0032132F"/>
    <w:rsid w:val="00331E48"/>
    <w:rsid w:val="003353F4"/>
    <w:rsid w:val="00336FA6"/>
    <w:rsid w:val="00342B09"/>
    <w:rsid w:val="00352DB6"/>
    <w:rsid w:val="0036436A"/>
    <w:rsid w:val="003C3603"/>
    <w:rsid w:val="003C50CD"/>
    <w:rsid w:val="003C7E02"/>
    <w:rsid w:val="003D66C8"/>
    <w:rsid w:val="003E1645"/>
    <w:rsid w:val="003F2A54"/>
    <w:rsid w:val="00402B06"/>
    <w:rsid w:val="004634AC"/>
    <w:rsid w:val="00480F31"/>
    <w:rsid w:val="0049624B"/>
    <w:rsid w:val="004C3010"/>
    <w:rsid w:val="00520973"/>
    <w:rsid w:val="00522D84"/>
    <w:rsid w:val="0053159F"/>
    <w:rsid w:val="00550BBB"/>
    <w:rsid w:val="0055756B"/>
    <w:rsid w:val="00561345"/>
    <w:rsid w:val="00575B6A"/>
    <w:rsid w:val="005A6819"/>
    <w:rsid w:val="005B3587"/>
    <w:rsid w:val="005C02F0"/>
    <w:rsid w:val="005C1DB8"/>
    <w:rsid w:val="005C5929"/>
    <w:rsid w:val="005D145D"/>
    <w:rsid w:val="005E5F48"/>
    <w:rsid w:val="0060421A"/>
    <w:rsid w:val="006531EC"/>
    <w:rsid w:val="00683F87"/>
    <w:rsid w:val="006D1A1A"/>
    <w:rsid w:val="006D3D0C"/>
    <w:rsid w:val="006E5124"/>
    <w:rsid w:val="007079E8"/>
    <w:rsid w:val="00732413"/>
    <w:rsid w:val="007349F9"/>
    <w:rsid w:val="00742BE6"/>
    <w:rsid w:val="00757DF5"/>
    <w:rsid w:val="00772A50"/>
    <w:rsid w:val="0078306C"/>
    <w:rsid w:val="0079721A"/>
    <w:rsid w:val="007B10EF"/>
    <w:rsid w:val="007C28AF"/>
    <w:rsid w:val="007C2A93"/>
    <w:rsid w:val="007C48A6"/>
    <w:rsid w:val="008252EB"/>
    <w:rsid w:val="008308C6"/>
    <w:rsid w:val="0083294F"/>
    <w:rsid w:val="0083557E"/>
    <w:rsid w:val="00841E0D"/>
    <w:rsid w:val="00846BF5"/>
    <w:rsid w:val="00863B77"/>
    <w:rsid w:val="00865633"/>
    <w:rsid w:val="008935CB"/>
    <w:rsid w:val="008C0BB2"/>
    <w:rsid w:val="008C5271"/>
    <w:rsid w:val="008E063C"/>
    <w:rsid w:val="008F3C1F"/>
    <w:rsid w:val="009146CF"/>
    <w:rsid w:val="00925EC0"/>
    <w:rsid w:val="009276C2"/>
    <w:rsid w:val="009319FD"/>
    <w:rsid w:val="009344E3"/>
    <w:rsid w:val="00947CB8"/>
    <w:rsid w:val="00990631"/>
    <w:rsid w:val="009C0947"/>
    <w:rsid w:val="009E4701"/>
    <w:rsid w:val="009E5B2B"/>
    <w:rsid w:val="00A41247"/>
    <w:rsid w:val="00A4653F"/>
    <w:rsid w:val="00A6328A"/>
    <w:rsid w:val="00A71FA5"/>
    <w:rsid w:val="00A92608"/>
    <w:rsid w:val="00A92C9B"/>
    <w:rsid w:val="00AA762B"/>
    <w:rsid w:val="00AC17ED"/>
    <w:rsid w:val="00AE66CA"/>
    <w:rsid w:val="00AE6745"/>
    <w:rsid w:val="00AF003F"/>
    <w:rsid w:val="00B05C09"/>
    <w:rsid w:val="00B17454"/>
    <w:rsid w:val="00B5454D"/>
    <w:rsid w:val="00B75F9F"/>
    <w:rsid w:val="00B7745F"/>
    <w:rsid w:val="00B80B8D"/>
    <w:rsid w:val="00B82E9E"/>
    <w:rsid w:val="00B95716"/>
    <w:rsid w:val="00BA1E68"/>
    <w:rsid w:val="00BA6B34"/>
    <w:rsid w:val="00BB2BD2"/>
    <w:rsid w:val="00C063D6"/>
    <w:rsid w:val="00C12861"/>
    <w:rsid w:val="00C21E36"/>
    <w:rsid w:val="00C35F9B"/>
    <w:rsid w:val="00C425B3"/>
    <w:rsid w:val="00C50C78"/>
    <w:rsid w:val="00C53388"/>
    <w:rsid w:val="00C65093"/>
    <w:rsid w:val="00C71285"/>
    <w:rsid w:val="00C80EAD"/>
    <w:rsid w:val="00CA40B0"/>
    <w:rsid w:val="00CA5E78"/>
    <w:rsid w:val="00CC3433"/>
    <w:rsid w:val="00CE0093"/>
    <w:rsid w:val="00CE2106"/>
    <w:rsid w:val="00CE67BF"/>
    <w:rsid w:val="00D26A0B"/>
    <w:rsid w:val="00D360ED"/>
    <w:rsid w:val="00D53022"/>
    <w:rsid w:val="00D66D2D"/>
    <w:rsid w:val="00D6790A"/>
    <w:rsid w:val="00D870DC"/>
    <w:rsid w:val="00D95D5D"/>
    <w:rsid w:val="00DA66E0"/>
    <w:rsid w:val="00DB0B56"/>
    <w:rsid w:val="00DC2A73"/>
    <w:rsid w:val="00DE5C69"/>
    <w:rsid w:val="00DF73CA"/>
    <w:rsid w:val="00E15793"/>
    <w:rsid w:val="00E224DE"/>
    <w:rsid w:val="00E24AC5"/>
    <w:rsid w:val="00E50D1E"/>
    <w:rsid w:val="00E5528A"/>
    <w:rsid w:val="00E678CF"/>
    <w:rsid w:val="00F004FB"/>
    <w:rsid w:val="00F1767F"/>
    <w:rsid w:val="00F24CCC"/>
    <w:rsid w:val="00F250A6"/>
    <w:rsid w:val="00F25FCC"/>
    <w:rsid w:val="00F2751D"/>
    <w:rsid w:val="00F33364"/>
    <w:rsid w:val="00F97939"/>
    <w:rsid w:val="00FA1729"/>
    <w:rsid w:val="00FB07A2"/>
    <w:rsid w:val="00FB3911"/>
    <w:rsid w:val="00FB7EDA"/>
    <w:rsid w:val="00FD1C2B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B55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3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6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3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6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leon@saludcastillayleon.e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icleon@saludcastillayleon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castrob@saludcastillayleon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uroz@saludcastillayleon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udcastillayleon.es/investigacion/es/ensayos-clinico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Rar$DI06.930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48</TotalTime>
  <Pages>8</Pages>
  <Words>2200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USUARIO</dc:creator>
  <cp:lastModifiedBy>10071155F</cp:lastModifiedBy>
  <cp:revision>32</cp:revision>
  <cp:lastPrinted>2017-12-22T08:23:00Z</cp:lastPrinted>
  <dcterms:created xsi:type="dcterms:W3CDTF">2017-12-15T11:26:00Z</dcterms:created>
  <dcterms:modified xsi:type="dcterms:W3CDTF">2018-03-27T12:04:00Z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